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黑体"/>
          <w:b/>
          <w:color w:val="auto"/>
          <w:sz w:val="28"/>
          <w:highlight w:val="none"/>
        </w:rPr>
      </w:pPr>
      <w:r>
        <w:rPr>
          <w:rFonts w:hint="eastAsia" w:eastAsia="黑体"/>
          <w:b/>
          <w:color w:val="auto"/>
          <w:sz w:val="28"/>
          <w:highlight w:val="none"/>
        </w:rPr>
        <w:t>通信工程专业指导性培养计划</w:t>
      </w:r>
    </w:p>
    <w:p>
      <w:pPr>
        <w:adjustRightInd w:val="0"/>
        <w:snapToGrid w:val="0"/>
        <w:spacing w:line="360" w:lineRule="auto"/>
        <w:jc w:val="center"/>
        <w:outlineLvl w:val="0"/>
        <w:rPr>
          <w:rFonts w:ascii="黑体" w:hAnsi="黑体" w:eastAsia="黑体" w:cs="黑体"/>
          <w:b/>
          <w:bCs/>
          <w:color w:val="auto"/>
          <w:szCs w:val="21"/>
          <w:highlight w:val="none"/>
        </w:rPr>
      </w:pPr>
      <w:r>
        <w:rPr>
          <w:rFonts w:hint="eastAsia" w:ascii="黑体" w:hAnsi="黑体" w:eastAsia="黑体" w:cs="黑体"/>
          <w:b/>
          <w:bCs/>
          <w:color w:val="auto"/>
          <w:szCs w:val="21"/>
          <w:highlight w:val="none"/>
        </w:rPr>
        <w:t>（2024级）</w:t>
      </w:r>
    </w:p>
    <w:p>
      <w:pPr>
        <w:adjustRightInd w:val="0"/>
        <w:snapToGrid w:val="0"/>
        <w:spacing w:line="360" w:lineRule="auto"/>
        <w:outlineLvl w:val="0"/>
        <w:rPr>
          <w:rFonts w:ascii="黑体" w:eastAsia="黑体"/>
          <w:b/>
          <w:bCs/>
          <w:color w:val="auto"/>
          <w:szCs w:val="21"/>
          <w:highlight w:val="none"/>
        </w:rPr>
      </w:pPr>
      <w:r>
        <w:rPr>
          <w:rFonts w:hint="eastAsia" w:ascii="黑体" w:eastAsia="黑体"/>
          <w:b/>
          <w:bCs/>
          <w:color w:val="auto"/>
          <w:szCs w:val="21"/>
          <w:highlight w:val="none"/>
        </w:rPr>
        <w:t xml:space="preserve">专业代码：080703 </w:t>
      </w:r>
    </w:p>
    <w:p>
      <w:pPr>
        <w:adjustRightInd w:val="0"/>
        <w:snapToGrid w:val="0"/>
        <w:spacing w:line="360" w:lineRule="auto"/>
        <w:outlineLvl w:val="0"/>
        <w:rPr>
          <w:rFonts w:ascii="黑体" w:eastAsia="黑体"/>
          <w:b/>
          <w:bCs/>
          <w:color w:val="auto"/>
          <w:szCs w:val="21"/>
          <w:highlight w:val="none"/>
        </w:rPr>
      </w:pPr>
      <w:r>
        <w:rPr>
          <w:rFonts w:hint="eastAsia" w:ascii="黑体" w:eastAsia="黑体"/>
          <w:b/>
          <w:bCs/>
          <w:color w:val="auto"/>
          <w:szCs w:val="21"/>
          <w:highlight w:val="none"/>
        </w:rPr>
        <w:t xml:space="preserve">执笔：张华       审核：石林祥  </w:t>
      </w:r>
    </w:p>
    <w:p>
      <w:pPr>
        <w:adjustRightInd w:val="0"/>
        <w:snapToGrid w:val="0"/>
        <w:spacing w:line="360" w:lineRule="auto"/>
        <w:rPr>
          <w:rFonts w:ascii="黑体" w:eastAsia="黑体"/>
          <w:b/>
          <w:color w:val="auto"/>
          <w:highlight w:val="none"/>
        </w:rPr>
      </w:pP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 xml:space="preserve">一、培养目标 </w:t>
      </w:r>
    </w:p>
    <w:p>
      <w:pPr>
        <w:pBdr>
          <w:top w:val="none" w:color="auto" w:sz="0" w:space="1"/>
          <w:left w:val="none" w:color="auto" w:sz="0" w:space="4"/>
          <w:bottom w:val="none" w:color="auto" w:sz="0" w:space="1"/>
          <w:right w:val="none" w:color="auto" w:sz="0" w:space="4"/>
        </w:pBdr>
        <w:tabs>
          <w:tab w:val="left" w:pos="4834"/>
        </w:tabs>
        <w:adjustRightInd w:val="0"/>
        <w:snapToGrid w:val="0"/>
        <w:spacing w:line="360" w:lineRule="auto"/>
        <w:ind w:firstLine="420" w:firstLineChars="200"/>
        <w:rPr>
          <w:color w:val="auto"/>
          <w:szCs w:val="21"/>
          <w:highlight w:val="none"/>
        </w:rPr>
      </w:pPr>
      <w:r>
        <w:rPr>
          <w:rFonts w:hint="eastAsia"/>
          <w:color w:val="auto"/>
          <w:szCs w:val="21"/>
          <w:highlight w:val="none"/>
        </w:rPr>
        <w:t>1．培养总目标</w:t>
      </w:r>
      <w:bookmarkStart w:id="2" w:name="_GoBack"/>
      <w:bookmarkEnd w:id="2"/>
    </w:p>
    <w:p>
      <w:pPr>
        <w:pBdr>
          <w:top w:val="none" w:color="auto" w:sz="0" w:space="1"/>
          <w:left w:val="none" w:color="auto" w:sz="0" w:space="4"/>
          <w:bottom w:val="none" w:color="auto" w:sz="0" w:space="1"/>
          <w:right w:val="none" w:color="auto" w:sz="0" w:space="4"/>
        </w:pBdr>
        <w:tabs>
          <w:tab w:val="left" w:pos="4834"/>
        </w:tabs>
        <w:adjustRightInd w:val="0"/>
        <w:snapToGrid w:val="0"/>
        <w:spacing w:line="360" w:lineRule="auto"/>
        <w:rPr>
          <w:rFonts w:ascii="宋体" w:hAnsi="宋体"/>
          <w:color w:val="auto"/>
          <w:highlight w:val="none"/>
        </w:rPr>
      </w:pPr>
      <w:r>
        <w:rPr>
          <w:rFonts w:hint="eastAsia" w:ascii="宋体" w:hAnsi="宋体"/>
          <w:color w:val="auto"/>
          <w:szCs w:val="21"/>
          <w:highlight w:val="none"/>
        </w:rPr>
        <w:t xml:space="preserve">     </w:t>
      </w:r>
      <w:r>
        <w:rPr>
          <w:rFonts w:hint="eastAsia"/>
          <w:color w:val="auto"/>
          <w:szCs w:val="21"/>
          <w:highlight w:val="none"/>
        </w:rPr>
        <w:t>本专业坚持把立德树人作为根本任务，培养能为社会主义现代化建设服务的德、智、体、美、劳全面发展，具有较高文化素质修养、敬业精神和社会责任感，掌握通信工程及应用领域的基本理论知识，具有较强的自学能力和工程实践能力，能在通信重点领域中从事通信系统设计、开发、生产、测试，及通信网络规划、组网、优化、运营、管理及维护的通信工程技术高级应用型人才</w:t>
      </w:r>
      <w:r>
        <w:rPr>
          <w:rFonts w:hint="eastAsia" w:ascii="宋体" w:hAnsi="宋体"/>
          <w:color w:val="auto"/>
          <w:highlight w:val="none"/>
        </w:rPr>
        <w:t>。</w:t>
      </w:r>
    </w:p>
    <w:p>
      <w:pPr>
        <w:pBdr>
          <w:top w:val="none" w:color="auto" w:sz="0" w:space="1"/>
          <w:left w:val="none" w:color="auto" w:sz="0" w:space="4"/>
          <w:bottom w:val="none" w:color="auto" w:sz="0" w:space="1"/>
          <w:right w:val="none" w:color="auto" w:sz="0" w:space="4"/>
        </w:pBdr>
        <w:tabs>
          <w:tab w:val="left" w:pos="4834"/>
        </w:tabs>
        <w:adjustRightInd w:val="0"/>
        <w:snapToGrid w:val="0"/>
        <w:spacing w:line="360" w:lineRule="auto"/>
        <w:ind w:firstLine="420" w:firstLineChars="200"/>
        <w:rPr>
          <w:color w:val="auto"/>
          <w:szCs w:val="21"/>
          <w:highlight w:val="none"/>
        </w:rPr>
      </w:pPr>
      <w:r>
        <w:rPr>
          <w:rFonts w:hint="eastAsia"/>
          <w:color w:val="auto"/>
          <w:szCs w:val="21"/>
          <w:highlight w:val="none"/>
        </w:rPr>
        <w:t>2．价值引领目标</w:t>
      </w:r>
      <w:r>
        <w:rPr>
          <w:color w:val="auto"/>
          <w:szCs w:val="21"/>
          <w:highlight w:val="none"/>
        </w:rPr>
        <w:t xml:space="preserve"> </w:t>
      </w:r>
    </w:p>
    <w:p>
      <w:pPr>
        <w:pBdr>
          <w:top w:val="none" w:color="auto" w:sz="0" w:space="1"/>
          <w:left w:val="none" w:color="auto" w:sz="0" w:space="4"/>
          <w:bottom w:val="none" w:color="auto" w:sz="0" w:space="1"/>
          <w:right w:val="none" w:color="auto" w:sz="0" w:space="4"/>
        </w:pBdr>
        <w:tabs>
          <w:tab w:val="left" w:pos="4834"/>
        </w:tabs>
        <w:adjustRightInd w:val="0"/>
        <w:snapToGrid w:val="0"/>
        <w:spacing w:line="360" w:lineRule="auto"/>
        <w:ind w:firstLine="435"/>
        <w:rPr>
          <w:rFonts w:ascii="宋体" w:hAnsi="宋体"/>
          <w:color w:val="auto"/>
          <w:szCs w:val="21"/>
          <w:highlight w:val="none"/>
        </w:rPr>
      </w:pPr>
      <w:r>
        <w:rPr>
          <w:rFonts w:hint="eastAsia"/>
          <w:color w:val="auto"/>
          <w:szCs w:val="21"/>
          <w:highlight w:val="none"/>
        </w:rPr>
        <w:t>本</w:t>
      </w:r>
      <w:r>
        <w:rPr>
          <w:color w:val="auto"/>
          <w:szCs w:val="21"/>
          <w:highlight w:val="none"/>
        </w:rPr>
        <w:t>专业</w:t>
      </w:r>
      <w:r>
        <w:rPr>
          <w:snapToGrid w:val="0"/>
          <w:color w:val="auto"/>
          <w:szCs w:val="21"/>
          <w:highlight w:val="none"/>
        </w:rPr>
        <w:t>通过人文社科课程、通识课程和</w:t>
      </w:r>
      <w:r>
        <w:rPr>
          <w:rFonts w:hint="eastAsia"/>
          <w:snapToGrid w:val="0"/>
          <w:color w:val="auto"/>
          <w:szCs w:val="21"/>
          <w:highlight w:val="none"/>
        </w:rPr>
        <w:t>专业</w:t>
      </w:r>
      <w:r>
        <w:rPr>
          <w:snapToGrid w:val="0"/>
          <w:color w:val="auto"/>
          <w:szCs w:val="21"/>
          <w:highlight w:val="none"/>
        </w:rPr>
        <w:t>课程思政教育相结合的模式，实现价值引领目标，</w:t>
      </w:r>
      <w:r>
        <w:rPr>
          <w:color w:val="auto"/>
          <w:szCs w:val="21"/>
          <w:highlight w:val="none"/>
        </w:rPr>
        <w:t>以劳模精神和工匠精神为价值取向，树匠心、育匠人，培养学生</w:t>
      </w:r>
      <w:r>
        <w:rPr>
          <w:snapToGrid w:val="0"/>
          <w:color w:val="auto"/>
          <w:szCs w:val="21"/>
          <w:highlight w:val="none"/>
        </w:rPr>
        <w:t>良好的人文社会科学素养、职业道德、心理素质和较强的社会责任感，以及创新意识和创业精神。</w:t>
      </w:r>
      <w:r>
        <w:rPr>
          <w:color w:val="auto"/>
          <w:szCs w:val="21"/>
          <w:highlight w:val="none"/>
        </w:rPr>
        <w:t>在教育教学实施过程中，通过工匠精神将工程师价值观和工程伦理教育寓于之中，培养学生养成严谨细致专注负责的工作态度，精雕细琢、精益求精的工作理念，掌握</w:t>
      </w:r>
      <w:r>
        <w:rPr>
          <w:rFonts w:hint="eastAsia"/>
          <w:color w:val="auto"/>
          <w:szCs w:val="21"/>
          <w:highlight w:val="none"/>
        </w:rPr>
        <w:t>通信工程基本理论和关键技术的新时代建设者。</w:t>
      </w:r>
    </w:p>
    <w:p>
      <w:pPr>
        <w:pBdr>
          <w:top w:val="none" w:color="auto" w:sz="0" w:space="1"/>
          <w:left w:val="none" w:color="auto" w:sz="0" w:space="4"/>
          <w:bottom w:val="none" w:color="auto" w:sz="0" w:space="1"/>
          <w:right w:val="none" w:color="auto" w:sz="0" w:space="4"/>
        </w:pBdr>
        <w:tabs>
          <w:tab w:val="left" w:pos="4834"/>
        </w:tabs>
        <w:adjustRightInd w:val="0"/>
        <w:snapToGrid w:val="0"/>
        <w:spacing w:line="360" w:lineRule="auto"/>
        <w:ind w:firstLine="420" w:firstLineChars="200"/>
        <w:rPr>
          <w:color w:val="auto"/>
          <w:szCs w:val="21"/>
          <w:highlight w:val="none"/>
        </w:rPr>
      </w:pPr>
      <w:r>
        <w:rPr>
          <w:rFonts w:hint="eastAsia"/>
          <w:color w:val="auto"/>
          <w:szCs w:val="21"/>
          <w:highlight w:val="none"/>
        </w:rPr>
        <w:t>3.学生毕业五年后须达到的目标</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szCs w:val="21"/>
          <w:highlight w:val="none"/>
        </w:rPr>
      </w:pPr>
      <w:r>
        <w:rPr>
          <w:rFonts w:hint="eastAsia"/>
          <w:color w:val="auto"/>
          <w:szCs w:val="21"/>
          <w:highlight w:val="none"/>
        </w:rPr>
        <w:t>培养的学生在毕业后五年左右，能达到以下目标：</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szCs w:val="21"/>
          <w:highlight w:val="none"/>
        </w:rPr>
      </w:pPr>
      <w:r>
        <w:rPr>
          <w:rFonts w:hint="eastAsia"/>
          <w:color w:val="auto"/>
          <w:highlight w:val="none"/>
        </w:rPr>
        <w:t>(</w:t>
      </w:r>
      <w:r>
        <w:rPr>
          <w:color w:val="auto"/>
          <w:highlight w:val="none"/>
        </w:rPr>
        <w:t>1</w:t>
      </w:r>
      <w:r>
        <w:rPr>
          <w:rFonts w:hint="eastAsia"/>
          <w:color w:val="auto"/>
          <w:highlight w:val="none"/>
        </w:rPr>
        <w:t>) 具有健全的人格，良好的科学文化素养，社会责任感和职业道德，在工程实践中能综合考虑法律，环境，社会，文化和可持续发展都的影响；</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r>
        <w:rPr>
          <w:rFonts w:hint="eastAsia"/>
          <w:color w:val="auto"/>
          <w:highlight w:val="none"/>
        </w:rPr>
        <w:t>(</w:t>
      </w:r>
      <w:r>
        <w:rPr>
          <w:color w:val="auto"/>
          <w:highlight w:val="none"/>
        </w:rPr>
        <w:t xml:space="preserve">2) </w:t>
      </w:r>
      <w:r>
        <w:rPr>
          <w:rFonts w:hint="eastAsia"/>
          <w:color w:val="auto"/>
          <w:highlight w:val="none"/>
        </w:rPr>
        <w:t>掌握通信工程专业基础知识，相关数理基础以及工程技术原则，具备工程师的专业素养和基本技能；</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r>
        <w:rPr>
          <w:color w:val="auto"/>
          <w:highlight w:val="none"/>
        </w:rPr>
        <w:t xml:space="preserve">(3) </w:t>
      </w:r>
      <w:r>
        <w:rPr>
          <w:rFonts w:hint="eastAsia"/>
          <w:color w:val="auto"/>
          <w:highlight w:val="none"/>
        </w:rPr>
        <w:t>掌握通信工程专业方向相关的标准，规范，法规，具有较强的工程创新能力，能解决复杂工程问题；</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r>
        <w:rPr>
          <w:color w:val="auto"/>
          <w:highlight w:val="none"/>
        </w:rPr>
        <w:t xml:space="preserve">(4) </w:t>
      </w:r>
      <w:r>
        <w:rPr>
          <w:rFonts w:hint="eastAsia"/>
          <w:color w:val="auto"/>
          <w:highlight w:val="none"/>
        </w:rPr>
        <w:t>拥有良好的团队合作和沟通能力，具备工程项目管理与组织协调能力，能够在通信工程任务中发挥领导或骨干作用；</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r>
        <w:rPr>
          <w:color w:val="auto"/>
          <w:highlight w:val="none"/>
        </w:rPr>
        <w:t xml:space="preserve">(5) </w:t>
      </w:r>
      <w:r>
        <w:rPr>
          <w:rFonts w:hint="eastAsia"/>
          <w:color w:val="auto"/>
          <w:highlight w:val="none"/>
        </w:rPr>
        <w:t>拥有自主的，终身的学习习惯和能力，能够及时了解和跟踪国内外技术发展趋势，不断提升自身专业素养，应对未来挑战。</w:t>
      </w: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二、毕业要求</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color w:val="auto"/>
          <w:szCs w:val="21"/>
          <w:highlight w:val="none"/>
        </w:rPr>
      </w:pPr>
      <w:r>
        <w:rPr>
          <w:rFonts w:hint="eastAsia" w:ascii="宋体" w:hAnsi="宋体"/>
          <w:b/>
          <w:color w:val="auto"/>
          <w:szCs w:val="21"/>
          <w:highlight w:val="none"/>
        </w:rPr>
        <w:t>1.工程知识：</w:t>
      </w:r>
      <w:r>
        <w:rPr>
          <w:rFonts w:ascii="宋体" w:hAnsi="宋体"/>
          <w:b/>
          <w:bCs/>
          <w:color w:val="auto"/>
          <w:szCs w:val="21"/>
          <w:highlight w:val="none"/>
        </w:rPr>
        <w:t>掌握通信工程所需的相关数学、自然科学、工程基础和通信相关专业知识，并能够用于解决复杂的通信系统开发、系统集成、维护等相关工程问题。</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指标点1-1：掌握通信工程所需的数学和相关自然科学基础知识：包括；微积分、线性代数、复变函数、概率论与数理统计、物理学的电学、光学、力学等。掌握一定的人文和社会科学知识；</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指标点1-2：掌握通信及相关应用领域的工程理论和技术基础知识。包括：通信原理基本概念，熟悉通信网络的系统组成和工作原理、关键技术，以及主要组成部分的实现方法；</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指标点1-3：深入学习至少一种通信网络（数据通信，移动通信）的相关知识，并在该领域具备通信网络规划、勘察、组网、优化、运营、管理及维护等基本知识。</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2.问题分析：</w:t>
      </w:r>
      <w:r>
        <w:rPr>
          <w:rFonts w:ascii="宋体" w:hAnsi="宋体"/>
          <w:b/>
          <w:color w:val="auto"/>
          <w:szCs w:val="21"/>
          <w:highlight w:val="none"/>
        </w:rPr>
        <w:t>能够应用数学、自然科学、工程基础以及通信相关专业知识，分析、识别、表达</w:t>
      </w:r>
      <w:r>
        <w:rPr>
          <w:rFonts w:hint="eastAsia" w:ascii="宋体" w:hAnsi="宋体"/>
          <w:b/>
          <w:color w:val="auto"/>
          <w:szCs w:val="21"/>
          <w:highlight w:val="none"/>
        </w:rPr>
        <w:t>通信工程及相关应用领域复杂工程问题。</w:t>
      </w:r>
      <w:r>
        <w:rPr>
          <w:rFonts w:ascii="宋体" w:hAnsi="宋体"/>
          <w:b/>
          <w:color w:val="auto"/>
          <w:szCs w:val="21"/>
          <w:highlight w:val="none"/>
        </w:rPr>
        <w:t>并通过自主学习，</w:t>
      </w:r>
      <w:r>
        <w:rPr>
          <w:rFonts w:hint="eastAsia" w:ascii="宋体" w:hAnsi="宋体"/>
          <w:b/>
          <w:color w:val="auto"/>
          <w:szCs w:val="21"/>
          <w:highlight w:val="none"/>
        </w:rPr>
        <w:t>文献研究</w:t>
      </w:r>
      <w:r>
        <w:rPr>
          <w:rFonts w:ascii="宋体" w:hAnsi="宋体"/>
          <w:b/>
          <w:color w:val="auto"/>
          <w:szCs w:val="21"/>
          <w:highlight w:val="none"/>
        </w:rPr>
        <w:t>分析，以获得有效结论</w:t>
      </w:r>
      <w:r>
        <w:rPr>
          <w:rFonts w:hint="eastAsia" w:ascii="宋体" w:hAnsi="宋体"/>
          <w:b/>
          <w:color w:val="auto"/>
          <w:szCs w:val="21"/>
          <w:highlight w:val="none"/>
        </w:rPr>
        <w:t>。</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指标点2-1：</w:t>
      </w:r>
      <w:r>
        <w:rPr>
          <w:rFonts w:ascii="宋体" w:hAnsi="宋体"/>
          <w:color w:val="auto"/>
          <w:szCs w:val="21"/>
          <w:highlight w:val="none"/>
        </w:rPr>
        <w:t>能够应用数学</w:t>
      </w:r>
      <w:r>
        <w:rPr>
          <w:rFonts w:hint="eastAsia" w:ascii="宋体" w:hAnsi="宋体"/>
          <w:color w:val="auto"/>
          <w:szCs w:val="21"/>
          <w:highlight w:val="none"/>
        </w:rPr>
        <w:t>等</w:t>
      </w:r>
      <w:r>
        <w:rPr>
          <w:rFonts w:ascii="宋体" w:hAnsi="宋体"/>
          <w:color w:val="auto"/>
          <w:szCs w:val="21"/>
          <w:highlight w:val="none"/>
        </w:rPr>
        <w:t>自然科学基本原理、</w:t>
      </w:r>
      <w:r>
        <w:rPr>
          <w:rFonts w:hint="eastAsia" w:ascii="宋体" w:hAnsi="宋体"/>
          <w:color w:val="auto"/>
          <w:szCs w:val="21"/>
          <w:highlight w:val="none"/>
        </w:rPr>
        <w:t>通信</w:t>
      </w:r>
      <w:r>
        <w:rPr>
          <w:rFonts w:ascii="宋体" w:hAnsi="宋体"/>
          <w:color w:val="auto"/>
          <w:szCs w:val="21"/>
          <w:highlight w:val="none"/>
        </w:rPr>
        <w:t>工程基础与专业知识</w:t>
      </w:r>
      <w:r>
        <w:rPr>
          <w:rFonts w:hint="eastAsia" w:ascii="宋体" w:hAnsi="宋体"/>
          <w:color w:val="auto"/>
          <w:szCs w:val="21"/>
          <w:highlight w:val="none"/>
        </w:rPr>
        <w:t>，</w:t>
      </w:r>
      <w:r>
        <w:rPr>
          <w:rFonts w:ascii="宋体" w:hAnsi="宋体"/>
          <w:color w:val="auto"/>
          <w:szCs w:val="21"/>
          <w:highlight w:val="none"/>
        </w:rPr>
        <w:t>对</w:t>
      </w:r>
      <w:r>
        <w:rPr>
          <w:rFonts w:hint="eastAsia" w:ascii="宋体" w:hAnsi="宋体"/>
          <w:color w:val="auto"/>
          <w:szCs w:val="21"/>
          <w:highlight w:val="none"/>
        </w:rPr>
        <w:t>通信电路、信息处理与传输、</w:t>
      </w:r>
      <w:r>
        <w:rPr>
          <w:rFonts w:ascii="宋体" w:hAnsi="宋体"/>
          <w:color w:val="auto"/>
          <w:szCs w:val="21"/>
          <w:highlight w:val="none"/>
        </w:rPr>
        <w:t>通信网络等</w:t>
      </w:r>
      <w:r>
        <w:rPr>
          <w:rFonts w:hint="eastAsia" w:ascii="宋体" w:hAnsi="宋体"/>
          <w:color w:val="auto"/>
          <w:szCs w:val="21"/>
          <w:highlight w:val="none"/>
        </w:rPr>
        <w:t>领域的</w:t>
      </w:r>
      <w:r>
        <w:rPr>
          <w:rFonts w:ascii="宋体" w:hAnsi="宋体"/>
          <w:color w:val="auto"/>
          <w:szCs w:val="21"/>
          <w:highlight w:val="none"/>
        </w:rPr>
        <w:t>工程问题进行</w:t>
      </w:r>
      <w:r>
        <w:rPr>
          <w:rFonts w:hint="eastAsia" w:ascii="宋体" w:hAnsi="宋体"/>
          <w:color w:val="auto"/>
          <w:szCs w:val="21"/>
          <w:highlight w:val="none"/>
        </w:rPr>
        <w:t>分析、</w:t>
      </w:r>
      <w:r>
        <w:rPr>
          <w:rFonts w:ascii="宋体" w:hAnsi="宋体"/>
          <w:color w:val="auto"/>
          <w:szCs w:val="21"/>
          <w:highlight w:val="none"/>
        </w:rPr>
        <w:t>识别与表达</w:t>
      </w:r>
      <w:r>
        <w:rPr>
          <w:rFonts w:hint="eastAsia" w:ascii="宋体" w:hAnsi="宋体"/>
          <w:color w:val="auto"/>
          <w:szCs w:val="21"/>
          <w:highlight w:val="none"/>
        </w:rPr>
        <w:t>；</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 xml:space="preserve"> 能够应用专业基础理论</w:t>
      </w:r>
      <w:r>
        <w:rPr>
          <w:rFonts w:hint="eastAsia" w:ascii="宋体" w:hAnsi="宋体"/>
          <w:color w:val="auto"/>
          <w:szCs w:val="21"/>
          <w:highlight w:val="none"/>
        </w:rPr>
        <w:t>以及</w:t>
      </w:r>
      <w:r>
        <w:rPr>
          <w:rFonts w:ascii="宋体" w:hAnsi="宋体"/>
          <w:color w:val="auto"/>
          <w:szCs w:val="21"/>
          <w:highlight w:val="none"/>
        </w:rPr>
        <w:t>软硬件方法，识别</w:t>
      </w:r>
      <w:r>
        <w:rPr>
          <w:rFonts w:hint="eastAsia" w:ascii="宋体" w:hAnsi="宋体"/>
          <w:color w:val="auto"/>
          <w:szCs w:val="21"/>
          <w:highlight w:val="none"/>
        </w:rPr>
        <w:t>、</w:t>
      </w:r>
      <w:r>
        <w:rPr>
          <w:rFonts w:ascii="宋体" w:hAnsi="宋体"/>
          <w:color w:val="auto"/>
          <w:szCs w:val="21"/>
          <w:highlight w:val="none"/>
        </w:rPr>
        <w:t>分析复杂工程问题的</w:t>
      </w:r>
      <w:r>
        <w:rPr>
          <w:rFonts w:hint="eastAsia" w:ascii="宋体" w:hAnsi="宋体"/>
          <w:color w:val="auto"/>
          <w:szCs w:val="21"/>
          <w:highlight w:val="none"/>
        </w:rPr>
        <w:t>基本</w:t>
      </w:r>
      <w:r>
        <w:rPr>
          <w:rFonts w:ascii="宋体" w:hAnsi="宋体"/>
          <w:color w:val="auto"/>
          <w:szCs w:val="21"/>
          <w:highlight w:val="none"/>
        </w:rPr>
        <w:t>环节和参数；</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 xml:space="preserve"> 能够借助文献研究，对通信工程领域的复杂工程问题进行分析、求解并获得</w:t>
      </w:r>
      <w:r>
        <w:rPr>
          <w:rFonts w:hint="eastAsia" w:ascii="宋体" w:hAnsi="宋体"/>
          <w:color w:val="auto"/>
          <w:szCs w:val="21"/>
          <w:highlight w:val="none"/>
        </w:rPr>
        <w:t>解决问题的有效方法。</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3.设计/开发解决方案：具备应用适当的理论和实践经验，能够设计、规划满足特定要求的通信网络方案，设计并开发符合通信行业标准的通信终端产品功能模块，并在其设计开发环节体现出基本的专业素养。</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能够掌握本专业涉及的工程设计概念、原则和方法，</w:t>
      </w:r>
      <w:r>
        <w:rPr>
          <w:rFonts w:hint="eastAsia" w:ascii="宋体" w:hAnsi="宋体"/>
          <w:color w:val="auto"/>
          <w:szCs w:val="21"/>
          <w:highlight w:val="none"/>
        </w:rPr>
        <w:t>借鉴实践经验，</w:t>
      </w:r>
      <w:r>
        <w:rPr>
          <w:rFonts w:ascii="宋体" w:hAnsi="宋体"/>
          <w:color w:val="auto"/>
          <w:szCs w:val="21"/>
          <w:highlight w:val="none"/>
        </w:rPr>
        <w:t>能够针对</w:t>
      </w:r>
      <w:r>
        <w:rPr>
          <w:rFonts w:hint="eastAsia" w:ascii="宋体" w:hAnsi="宋体"/>
          <w:color w:val="auto"/>
          <w:szCs w:val="21"/>
          <w:highlight w:val="none"/>
        </w:rPr>
        <w:t>至少一种</w:t>
      </w:r>
      <w:r>
        <w:rPr>
          <w:rFonts w:ascii="宋体" w:hAnsi="宋体"/>
          <w:color w:val="auto"/>
          <w:szCs w:val="21"/>
          <w:highlight w:val="none"/>
        </w:rPr>
        <w:t>通信</w:t>
      </w:r>
      <w:r>
        <w:rPr>
          <w:rFonts w:hint="eastAsia" w:ascii="宋体" w:hAnsi="宋体"/>
          <w:color w:val="auto"/>
          <w:szCs w:val="21"/>
          <w:highlight w:val="none"/>
        </w:rPr>
        <w:t>网络</w:t>
      </w:r>
      <w:r>
        <w:rPr>
          <w:rFonts w:ascii="宋体" w:hAnsi="宋体"/>
          <w:color w:val="auto"/>
          <w:szCs w:val="21"/>
          <w:highlight w:val="none"/>
        </w:rPr>
        <w:t>领域的工程问题确定设计需求</w:t>
      </w:r>
      <w:r>
        <w:rPr>
          <w:rFonts w:hint="eastAsia" w:ascii="宋体" w:hAnsi="宋体"/>
          <w:color w:val="auto"/>
          <w:szCs w:val="21"/>
          <w:highlight w:val="none"/>
        </w:rPr>
        <w:t>、进行方案设计，实施设计方案、完成工程任务，并参与相关评价</w:t>
      </w:r>
      <w:r>
        <w:rPr>
          <w:rFonts w:ascii="宋体" w:hAnsi="宋体"/>
          <w:color w:val="auto"/>
          <w:szCs w:val="21"/>
          <w:highlight w:val="none"/>
        </w:rPr>
        <w:t>；</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：具有一定的创新意识，初步具备软硬件开发能力，具备通信工程及应用领域相关技术改造的能力；</w:t>
      </w:r>
      <w:r>
        <w:rPr>
          <w:rFonts w:ascii="宋体" w:hAnsi="宋体"/>
          <w:color w:val="auto"/>
          <w:szCs w:val="21"/>
          <w:highlight w:val="none"/>
        </w:rPr>
        <w:t>能够应用专业基础知识</w:t>
      </w:r>
      <w:r>
        <w:rPr>
          <w:rFonts w:hint="eastAsia" w:ascii="宋体" w:hAnsi="宋体"/>
          <w:color w:val="auto"/>
          <w:szCs w:val="21"/>
          <w:highlight w:val="none"/>
        </w:rPr>
        <w:t>、基本</w:t>
      </w:r>
      <w:r>
        <w:rPr>
          <w:rFonts w:ascii="宋体" w:hAnsi="宋体"/>
          <w:color w:val="auto"/>
          <w:szCs w:val="21"/>
          <w:highlight w:val="none"/>
        </w:rPr>
        <w:t>原理，</w:t>
      </w:r>
      <w:r>
        <w:rPr>
          <w:rFonts w:hint="eastAsia" w:ascii="宋体" w:hAnsi="宋体"/>
          <w:color w:val="auto"/>
          <w:szCs w:val="21"/>
          <w:highlight w:val="none"/>
        </w:rPr>
        <w:t>借鉴实践实验经验，</w:t>
      </w:r>
      <w:r>
        <w:rPr>
          <w:rFonts w:ascii="宋体" w:hAnsi="宋体"/>
          <w:color w:val="auto"/>
          <w:szCs w:val="21"/>
          <w:highlight w:val="none"/>
        </w:rPr>
        <w:t>针对</w:t>
      </w:r>
      <w:r>
        <w:rPr>
          <w:rFonts w:hint="eastAsia" w:ascii="宋体" w:hAnsi="宋体"/>
          <w:color w:val="auto"/>
          <w:szCs w:val="21"/>
          <w:highlight w:val="none"/>
        </w:rPr>
        <w:t>具体</w:t>
      </w:r>
      <w:r>
        <w:rPr>
          <w:rFonts w:ascii="宋体" w:hAnsi="宋体"/>
          <w:color w:val="auto"/>
          <w:szCs w:val="21"/>
          <w:highlight w:val="none"/>
        </w:rPr>
        <w:t>需求</w:t>
      </w:r>
      <w:r>
        <w:rPr>
          <w:rFonts w:hint="eastAsia" w:ascii="宋体" w:hAnsi="宋体"/>
          <w:color w:val="auto"/>
          <w:szCs w:val="21"/>
          <w:highlight w:val="none"/>
        </w:rPr>
        <w:t>，</w:t>
      </w:r>
      <w:r>
        <w:rPr>
          <w:rFonts w:ascii="宋体" w:hAnsi="宋体"/>
          <w:color w:val="auto"/>
          <w:szCs w:val="21"/>
          <w:highlight w:val="none"/>
        </w:rPr>
        <w:t>完成</w:t>
      </w:r>
      <w:r>
        <w:rPr>
          <w:rFonts w:hint="eastAsia" w:ascii="宋体" w:hAnsi="宋体"/>
          <w:color w:val="auto"/>
          <w:szCs w:val="21"/>
          <w:highlight w:val="none"/>
        </w:rPr>
        <w:t>简单</w:t>
      </w:r>
      <w:r>
        <w:rPr>
          <w:rFonts w:ascii="宋体" w:hAnsi="宋体"/>
          <w:color w:val="auto"/>
          <w:szCs w:val="21"/>
          <w:highlight w:val="none"/>
        </w:rPr>
        <w:t>系统</w:t>
      </w:r>
      <w:r>
        <w:rPr>
          <w:rFonts w:hint="eastAsia" w:ascii="宋体" w:hAnsi="宋体"/>
          <w:color w:val="auto"/>
          <w:szCs w:val="21"/>
          <w:highlight w:val="none"/>
        </w:rPr>
        <w:t>或独立</w:t>
      </w:r>
      <w:r>
        <w:rPr>
          <w:rFonts w:ascii="宋体" w:hAnsi="宋体"/>
          <w:color w:val="auto"/>
          <w:szCs w:val="21"/>
          <w:highlight w:val="none"/>
        </w:rPr>
        <w:t>模块的软/硬件设计方案</w:t>
      </w:r>
      <w:r>
        <w:rPr>
          <w:rFonts w:hint="eastAsia" w:ascii="宋体" w:hAnsi="宋体"/>
          <w:color w:val="auto"/>
          <w:szCs w:val="21"/>
          <w:highlight w:val="none"/>
        </w:rPr>
        <w:t>，</w:t>
      </w:r>
      <w:r>
        <w:rPr>
          <w:rFonts w:ascii="宋体" w:hAnsi="宋体"/>
          <w:color w:val="auto"/>
          <w:szCs w:val="21"/>
          <w:highlight w:val="none"/>
        </w:rPr>
        <w:t>并能够在设计</w:t>
      </w:r>
      <w:r>
        <w:rPr>
          <w:rFonts w:hint="eastAsia" w:ascii="宋体" w:hAnsi="宋体"/>
          <w:color w:val="auto"/>
          <w:szCs w:val="21"/>
          <w:highlight w:val="none"/>
        </w:rPr>
        <w:t>、开发</w:t>
      </w:r>
      <w:r>
        <w:rPr>
          <w:rFonts w:ascii="宋体" w:hAnsi="宋体"/>
          <w:color w:val="auto"/>
          <w:szCs w:val="21"/>
          <w:highlight w:val="none"/>
        </w:rPr>
        <w:t>中体现</w:t>
      </w:r>
      <w:r>
        <w:rPr>
          <w:rFonts w:hint="eastAsia" w:ascii="宋体" w:hAnsi="宋体"/>
          <w:color w:val="auto"/>
          <w:szCs w:val="21"/>
          <w:highlight w:val="none"/>
        </w:rPr>
        <w:t>专业素养</w:t>
      </w:r>
      <w:r>
        <w:rPr>
          <w:rFonts w:ascii="宋体" w:hAnsi="宋体"/>
          <w:color w:val="auto"/>
          <w:szCs w:val="21"/>
          <w:highlight w:val="none"/>
        </w:rPr>
        <w:t>；</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在</w:t>
      </w:r>
      <w:r>
        <w:rPr>
          <w:rFonts w:hint="eastAsia" w:ascii="宋体" w:hAnsi="宋体"/>
          <w:color w:val="auto"/>
          <w:szCs w:val="21"/>
          <w:highlight w:val="none"/>
        </w:rPr>
        <w:t>通信</w:t>
      </w:r>
      <w:r>
        <w:rPr>
          <w:rFonts w:ascii="宋体" w:hAnsi="宋体"/>
          <w:color w:val="auto"/>
          <w:szCs w:val="21"/>
          <w:highlight w:val="none"/>
        </w:rPr>
        <w:t>系统方案设计环节中，能够考虑</w:t>
      </w:r>
      <w:r>
        <w:rPr>
          <w:rFonts w:hint="eastAsia" w:ascii="宋体" w:hAnsi="宋体"/>
          <w:color w:val="auto"/>
          <w:szCs w:val="21"/>
          <w:highlight w:val="none"/>
        </w:rPr>
        <w:t>成本、质量、</w:t>
      </w:r>
      <w:r>
        <w:rPr>
          <w:rFonts w:ascii="宋体" w:hAnsi="宋体"/>
          <w:color w:val="auto"/>
          <w:szCs w:val="21"/>
          <w:highlight w:val="none"/>
        </w:rPr>
        <w:t>社会、健康、安全、法律、文化以及环境等多方面、多层次因素的影响。</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4.研究：掌握数理基础、通信工程学科基本原理和方法，熟练使用各种设备仪器，能够采用科学的方式和方法对通信工程及应用领域复杂工程问题进行建模、分析、设计和测试，并对结果进行合理分析、解释和评价，给出改进方案。</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 xml:space="preserve"> 能够对通信领域的软件、硬件模块进行理论分析和仿真</w:t>
      </w:r>
      <w:r>
        <w:rPr>
          <w:rFonts w:hint="eastAsia" w:ascii="宋体" w:hAnsi="宋体"/>
          <w:color w:val="auto"/>
          <w:szCs w:val="21"/>
          <w:highlight w:val="none"/>
        </w:rPr>
        <w:t>；</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 xml:space="preserve"> 能够针对通信网络、信息传输、信号处理等通信领域的复杂工程问题设计实验方案，选用合理的实验材料和设备构建实验系统</w:t>
      </w:r>
      <w:r>
        <w:rPr>
          <w:rFonts w:hint="eastAsia" w:ascii="宋体" w:hAnsi="宋体"/>
          <w:color w:val="auto"/>
          <w:szCs w:val="21"/>
          <w:highlight w:val="none"/>
        </w:rPr>
        <w:t>；</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 xml:space="preserve"> 能够对</w:t>
      </w:r>
      <w:r>
        <w:rPr>
          <w:rFonts w:hint="eastAsia" w:ascii="宋体" w:hAnsi="宋体"/>
          <w:color w:val="auto"/>
          <w:szCs w:val="21"/>
          <w:highlight w:val="none"/>
        </w:rPr>
        <w:t>科研问题</w:t>
      </w:r>
      <w:r>
        <w:rPr>
          <w:rFonts w:ascii="宋体" w:hAnsi="宋体"/>
          <w:color w:val="auto"/>
          <w:szCs w:val="21"/>
          <w:highlight w:val="none"/>
        </w:rPr>
        <w:t>进行合理分析、解释与评价，提出改进方案</w:t>
      </w:r>
      <w:r>
        <w:rPr>
          <w:rFonts w:hint="eastAsia" w:ascii="宋体" w:hAnsi="宋体"/>
          <w:color w:val="auto"/>
          <w:szCs w:val="21"/>
          <w:highlight w:val="none"/>
        </w:rPr>
        <w:t>并进行理论分析和总结</w:t>
      </w:r>
      <w:r>
        <w:rPr>
          <w:rFonts w:ascii="宋体" w:hAnsi="宋体"/>
          <w:color w:val="auto"/>
          <w:szCs w:val="21"/>
          <w:highlight w:val="none"/>
        </w:rPr>
        <w:t>，</w:t>
      </w:r>
      <w:r>
        <w:rPr>
          <w:rFonts w:hint="eastAsia" w:ascii="宋体" w:hAnsi="宋体"/>
          <w:color w:val="auto"/>
          <w:szCs w:val="21"/>
          <w:highlight w:val="none"/>
        </w:rPr>
        <w:t>初步具备研究性学习的意识和能力。</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5.使用现代工具：</w:t>
      </w:r>
      <w:r>
        <w:rPr>
          <w:rFonts w:ascii="宋体" w:hAnsi="宋体"/>
          <w:b/>
          <w:color w:val="auto"/>
          <w:szCs w:val="21"/>
          <w:highlight w:val="none"/>
        </w:rPr>
        <w:t>掌握</w:t>
      </w:r>
      <w:r>
        <w:rPr>
          <w:rFonts w:hint="eastAsia" w:ascii="宋体" w:hAnsi="宋体"/>
          <w:b/>
          <w:color w:val="auto"/>
          <w:szCs w:val="21"/>
          <w:highlight w:val="none"/>
        </w:rPr>
        <w:t>软硬件开发语言</w:t>
      </w:r>
      <w:r>
        <w:rPr>
          <w:rFonts w:ascii="宋体" w:hAnsi="宋体"/>
          <w:b/>
          <w:color w:val="auto"/>
          <w:szCs w:val="21"/>
          <w:highlight w:val="none"/>
        </w:rPr>
        <w:t>，熟悉移动通信基站调测</w:t>
      </w:r>
      <w:r>
        <w:rPr>
          <w:rFonts w:hint="eastAsia" w:ascii="宋体" w:hAnsi="宋体"/>
          <w:b/>
          <w:color w:val="auto"/>
          <w:szCs w:val="21"/>
          <w:highlight w:val="none"/>
        </w:rPr>
        <w:t>软件，</w:t>
      </w:r>
      <w:r>
        <w:rPr>
          <w:rFonts w:ascii="宋体" w:hAnsi="宋体"/>
          <w:b/>
          <w:color w:val="auto"/>
          <w:szCs w:val="21"/>
          <w:highlight w:val="none"/>
        </w:rPr>
        <w:t>熟悉通信测试</w:t>
      </w:r>
      <w:r>
        <w:rPr>
          <w:rFonts w:hint="eastAsia" w:ascii="宋体" w:hAnsi="宋体"/>
          <w:b/>
          <w:color w:val="auto"/>
          <w:szCs w:val="21"/>
          <w:highlight w:val="none"/>
        </w:rPr>
        <w:t>以及</w:t>
      </w:r>
      <w:r>
        <w:rPr>
          <w:rFonts w:ascii="宋体" w:hAnsi="宋体"/>
          <w:b/>
          <w:color w:val="auto"/>
          <w:szCs w:val="21"/>
          <w:highlight w:val="none"/>
        </w:rPr>
        <w:t>网优软件，能够针对复杂工程问题选择与使用恰当的现代工程工具和信息技术工具，对复杂工程问题的</w:t>
      </w:r>
      <w:r>
        <w:rPr>
          <w:rFonts w:hint="eastAsia" w:ascii="宋体" w:hAnsi="宋体"/>
          <w:b/>
          <w:color w:val="auto"/>
          <w:szCs w:val="21"/>
          <w:highlight w:val="none"/>
        </w:rPr>
        <w:t>进行模拟、预测、并给出合理解决方案。</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指标点5-1： 掌握基本的计算机操作和应用，掌握专业领域常用的软件开发语言、系统分析设计与仿真工具，并能够运用集成开发环境进行程序设计；</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指标点5-2： 掌握通信工程专业仪器、设备的基本原理、操作方法，能够在复杂、综合型工程中合理选择和使用仪器、设备；</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指标点5-3： 具备使用实验设备、计算机软件和现代信息工具对通信系统中的复杂工程问题进行模拟或仿真的能力，理解其使用要求、运用范围和局限性。</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6.工程与社会：</w:t>
      </w:r>
      <w:r>
        <w:rPr>
          <w:rFonts w:ascii="宋体" w:hAnsi="宋体"/>
          <w:b/>
          <w:color w:val="auto"/>
          <w:szCs w:val="21"/>
          <w:highlight w:val="none"/>
        </w:rPr>
        <w:t>能够肩负社会责任：能够基于通信工程相关背景知识进行合理分析，评价专业工程实践和复杂工程问题解决方案对社会、健康、安全、法律以及文化的影响，理解应承担的责任。</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指标点6-1： 了解通信工程领域相关的技术标准、知识产权、产业政策和法律法规；</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指标点6-2： 能够结合相关的工程知识，分析、评价专业工程实践和复杂工程问题的解决方案对社会、健康、安全、法律以及文化的影响。</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7.环境和可持续发展：</w:t>
      </w:r>
      <w:r>
        <w:rPr>
          <w:rFonts w:ascii="宋体" w:hAnsi="宋体"/>
          <w:b/>
          <w:color w:val="auto"/>
          <w:szCs w:val="21"/>
          <w:highlight w:val="none"/>
        </w:rPr>
        <w:t>能够理解和评价针对复杂工程问题的专业工程实践对环境、社会可持续发展的影响。</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指标点7-1： 了解环境保护和社会可持续发展的内涵及相关方针、政策及法律法规，能够正确认识针对复杂工程问题的专业工程实践对环境和社会的影响；</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指标点7-2： 能针对实际复杂工程问题，考虑环境与可持续发展的约束，正确评价专业工程实践对环境和社会可持续发展的影响，并承担相应的责任。</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8.职业规范：</w:t>
      </w:r>
      <w:r>
        <w:rPr>
          <w:rFonts w:ascii="宋体" w:hAnsi="宋体"/>
          <w:b/>
          <w:color w:val="auto"/>
          <w:szCs w:val="21"/>
          <w:highlight w:val="none"/>
        </w:rPr>
        <w:t>具有基本人文社会科学素养、社会责任感，能够在工程实践中理解并遵守通信工程职业道德和规范，履行责任。</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指标点8-1： 理解社会主义核心价值观，了解国情，维护国家利益，树立正确的政治立场、世界观、人生观和价值观；</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指标点8-2： 理解通信工程师的职业性质与社会责任，在工程实践中能自觉遵守职业道德和规范。</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9.个人和团队：</w:t>
      </w:r>
      <w:r>
        <w:rPr>
          <w:rFonts w:ascii="宋体" w:hAnsi="宋体"/>
          <w:b/>
          <w:color w:val="auto"/>
          <w:szCs w:val="21"/>
          <w:highlight w:val="none"/>
        </w:rPr>
        <w:t>能够就通信领域复杂工程问题与业界同行及社会公众进行有效沟通和交流，包括撰写报告和设计文稿、陈述发言、清晰表达或回应指令，并具备一定的国际视野，能够在跨文化背景下进行沟通和交流。</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指标点9-1： 能在涵盖通信工程专业的多学科项目中承担个体、团队成员的角色，发挥专业特长，主动与其他成员进行有效沟通，合作开展工作；</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指标点9-2： 了解团队的组织管理方式，能够处理好团队成员的人际关系，充分发挥团队协作的优势。</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10.沟通：能够就复杂工程问题与业界同行及社会公众进行有效沟通和交流，包括撰写报告和设计文稿、陈述发言、清晰表达或回应指令。并具备一定的国际视野，能够在跨文化背景下进行沟通和交流。</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指标点10-1： 对通信领域复杂工程问题，能够以书面和口头形式表达设 计思想、方法及成果，与业界同行及社会公众进行有效沟通和交流；</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指标点10-2： 具有英语听说读写能力，熟悉专业词汇、能够阅读专业相关英文文献，了解通信行业国际发展状况。</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11.项目管理：</w:t>
      </w:r>
      <w:r>
        <w:rPr>
          <w:rFonts w:ascii="宋体" w:hAnsi="宋体"/>
          <w:b/>
          <w:color w:val="auto"/>
          <w:szCs w:val="21"/>
          <w:highlight w:val="none"/>
        </w:rPr>
        <w:t>理解并掌握通信工程管理原理与经济决策方法，并能在多学科环境中应用。</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指标点11-1： 理解工程管理与经济决策的 重要性，掌握工程管理的基本原理和常用的经济决策方法；</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指标点11-2： 能够将管理原理、经济决策应用于通信工程项目管理。</w:t>
      </w:r>
    </w:p>
    <w:p>
      <w:pPr>
        <w:pStyle w:val="7"/>
        <w:pBdr>
          <w:top w:val="none" w:color="auto" w:sz="0" w:space="1"/>
          <w:left w:val="none" w:color="auto" w:sz="0" w:space="4"/>
          <w:bottom w:val="none" w:color="auto" w:sz="0" w:space="1"/>
          <w:right w:val="none" w:color="auto" w:sz="0" w:space="4"/>
        </w:pBdr>
        <w:adjustRightInd w:val="0"/>
        <w:snapToGrid w:val="0"/>
        <w:spacing w:line="360" w:lineRule="auto"/>
        <w:ind w:firstLineChars="0"/>
        <w:rPr>
          <w:rFonts w:ascii="宋体" w:hAnsi="宋体"/>
          <w:b/>
          <w:color w:val="auto"/>
          <w:szCs w:val="21"/>
          <w:highlight w:val="none"/>
        </w:rPr>
      </w:pPr>
      <w:r>
        <w:rPr>
          <w:rFonts w:hint="eastAsia" w:ascii="宋体" w:hAnsi="宋体"/>
          <w:b/>
          <w:color w:val="auto"/>
          <w:szCs w:val="21"/>
          <w:highlight w:val="none"/>
        </w:rPr>
        <w:t>12.终身学习：</w:t>
      </w:r>
      <w:r>
        <w:rPr>
          <w:rFonts w:ascii="宋体" w:hAnsi="宋体"/>
          <w:b/>
          <w:color w:val="auto"/>
          <w:szCs w:val="21"/>
          <w:highlight w:val="none"/>
        </w:rPr>
        <w:t>具有自主学习和终生学习意识，有不断学习和适应发展的能力。</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指标点12-1： 通过现代检索系统，获取、更新、利用，将本专业知识的能力，能够快速获取、学习新知识，新技术；</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指标点12-2：了解通信技术发展的特点，具有自主学习和终身学习的意识，能够主动适应技术的发展，具备不断学习适应发展的能力；</w:t>
      </w:r>
    </w:p>
    <w:p>
      <w:pPr>
        <w:pBdr>
          <w:top w:val="none" w:color="auto" w:sz="0" w:space="1"/>
          <w:left w:val="none" w:color="auto" w:sz="0" w:space="4"/>
          <w:bottom w:val="none" w:color="auto" w:sz="0" w:space="1"/>
          <w:right w:val="none" w:color="auto" w:sz="0" w:space="4"/>
        </w:pBdr>
        <w:adjustRightInd w:val="0"/>
        <w:snapToGrid w:val="0"/>
        <w:spacing w:line="360" w:lineRule="auto"/>
        <w:rPr>
          <w:rFonts w:ascii="黑体" w:hAnsi="黑体" w:eastAsia="黑体"/>
          <w:b/>
          <w:bCs/>
          <w:color w:val="auto"/>
          <w:szCs w:val="21"/>
          <w:highlight w:val="none"/>
        </w:rPr>
      </w:pPr>
      <w:r>
        <w:rPr>
          <w:rFonts w:hint="eastAsia" w:ascii="黑体" w:hAnsi="黑体" w:eastAsia="黑体"/>
          <w:b/>
          <w:bCs/>
          <w:color w:val="auto"/>
          <w:szCs w:val="21"/>
          <w:highlight w:val="none"/>
        </w:rPr>
        <w:t>三、学制</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四年。</w:t>
      </w: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四、修业年限</w:t>
      </w:r>
    </w:p>
    <w:p>
      <w:pPr>
        <w:widowControl/>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jc w:val="left"/>
        <w:rPr>
          <w:rFonts w:ascii="宋体" w:hAnsi="宋体" w:cs="宋体"/>
          <w:color w:val="auto"/>
          <w:kern w:val="0"/>
          <w:sz w:val="24"/>
          <w:highlight w:val="none"/>
        </w:rPr>
      </w:pPr>
      <w:r>
        <w:rPr>
          <w:rFonts w:ascii="宋体" w:hAnsi="宋体"/>
          <w:color w:val="auto"/>
          <w:szCs w:val="21"/>
          <w:highlight w:val="none"/>
        </w:rPr>
        <w:t>实行弹性修业年限，一般为四年，弹性幅度最短不低于三年，最长不多于六年。</w:t>
      </w:r>
      <w:r>
        <w:rPr>
          <w:rFonts w:ascii="宋体" w:hAnsi="宋体" w:cs="宋体"/>
          <w:color w:val="auto"/>
          <w:kern w:val="0"/>
          <w:sz w:val="24"/>
          <w:highlight w:val="none"/>
        </w:rPr>
        <w:t xml:space="preserve"> </w:t>
      </w: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五、毕业与学位授予</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本专业学生必须按指导性培养计划的要求修读完成各类别课程规定的最低学分、并完成第二课堂规定的所有内容，总学分达到</w:t>
      </w:r>
      <w:r>
        <w:rPr>
          <w:rFonts w:ascii="宋体" w:hAnsi="宋体"/>
          <w:color w:val="auto"/>
          <w:szCs w:val="21"/>
          <w:highlight w:val="none"/>
        </w:rPr>
        <w:t>16</w:t>
      </w:r>
      <w:r>
        <w:rPr>
          <w:rFonts w:hint="eastAsia" w:ascii="宋体" w:hAnsi="宋体"/>
          <w:color w:val="auto"/>
          <w:szCs w:val="21"/>
          <w:highlight w:val="none"/>
          <w:lang w:val="en-US" w:eastAsia="zh-CN"/>
        </w:rPr>
        <w:t>8</w:t>
      </w:r>
      <w:r>
        <w:rPr>
          <w:rFonts w:hint="eastAsia" w:ascii="宋体" w:hAnsi="宋体"/>
          <w:color w:val="auto"/>
          <w:szCs w:val="21"/>
          <w:highlight w:val="none"/>
        </w:rPr>
        <w:t>学分，方可毕业；达到学士学位授予条件者，授予工学学士学位。</w:t>
      </w: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六、主干学科</w:t>
      </w:r>
    </w:p>
    <w:p>
      <w:pPr>
        <w:pBdr>
          <w:top w:val="none" w:color="auto" w:sz="0" w:space="1"/>
          <w:left w:val="none" w:color="auto" w:sz="0" w:space="4"/>
          <w:bottom w:val="none" w:color="auto" w:sz="0" w:space="1"/>
          <w:right w:val="none" w:color="auto" w:sz="0" w:space="4"/>
        </w:pBdr>
        <w:adjustRightInd w:val="0"/>
        <w:snapToGrid w:val="0"/>
        <w:spacing w:line="360" w:lineRule="auto"/>
        <w:ind w:firstLine="420"/>
        <w:rPr>
          <w:rFonts w:ascii="黑体" w:eastAsia="黑体"/>
          <w:b/>
          <w:color w:val="auto"/>
          <w:highlight w:val="none"/>
        </w:rPr>
      </w:pPr>
      <w:r>
        <w:rPr>
          <w:rFonts w:hint="eastAsia"/>
          <w:color w:val="auto"/>
          <w:highlight w:val="none"/>
        </w:rPr>
        <w:t>信息与通信工程学科，电子科学与技术、计算机科学与技术。</w:t>
      </w: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 xml:space="preserve">七、专业核心课程 </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r>
        <w:rPr>
          <w:rFonts w:hint="eastAsia" w:ascii="宋体" w:hAnsi="宋体"/>
          <w:color w:val="auto"/>
          <w:highlight w:val="none"/>
        </w:rPr>
        <w:t>概率论与数理统计、</w:t>
      </w:r>
      <w:r>
        <w:rPr>
          <w:rFonts w:hint="eastAsia"/>
          <w:color w:val="auto"/>
          <w:highlight w:val="none"/>
        </w:rPr>
        <w:t>模拟电子技术、数字电子技术、信号与系统、数字信号处理、电磁场与天线、通信原理、 通信电子线路、移动通信基础、互联网导论、</w:t>
      </w:r>
      <w:r>
        <w:rPr>
          <w:rFonts w:hint="eastAsia" w:ascii="宋体" w:hAnsi="宋体" w:cs="宋体"/>
          <w:color w:val="auto"/>
          <w:sz w:val="20"/>
          <w:szCs w:val="20"/>
          <w:highlight w:val="none"/>
        </w:rPr>
        <w:t>信</w:t>
      </w:r>
      <w:r>
        <w:rPr>
          <w:rFonts w:hint="eastAsia"/>
          <w:color w:val="auto"/>
          <w:highlight w:val="none"/>
        </w:rPr>
        <w:t>号与信息处理综合设计、通信系统综合设计。</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rPr>
          <w:color w:val="auto"/>
          <w:highlight w:val="none"/>
        </w:rPr>
      </w:pP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八、课程体系构成及学时分配比例（不含第二课堂）</w:t>
      </w:r>
    </w:p>
    <w:tbl>
      <w:tblPr>
        <w:tblStyle w:val="5"/>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课程类别</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总学分</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w:t>
            </w:r>
          </w:p>
        </w:tc>
        <w:tc>
          <w:tcPr>
            <w:tcW w:w="993" w:type="dxa"/>
            <w:tcBorders>
              <w:top w:val="single" w:color="auto" w:sz="4" w:space="0"/>
              <w:left w:val="doub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总学时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理论学时</w:t>
            </w:r>
          </w:p>
        </w:tc>
        <w:tc>
          <w:tcPr>
            <w:tcW w:w="1195"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公共基础课</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val="0"/>
                <w:bCs w:val="0"/>
                <w:color w:val="auto"/>
                <w:szCs w:val="21"/>
                <w:highlight w:val="none"/>
              </w:rPr>
            </w:pPr>
            <w:r>
              <w:rPr>
                <w:rFonts w:hint="eastAsia" w:ascii="宋体" w:hAnsi="宋体"/>
                <w:b w:val="0"/>
                <w:bCs w:val="0"/>
                <w:color w:val="auto"/>
                <w:szCs w:val="21"/>
                <w:highlight w:val="none"/>
                <w:lang w:val="en-US" w:eastAsia="zh-CN"/>
              </w:rPr>
              <w:t>60</w:t>
            </w:r>
            <w:r>
              <w:rPr>
                <w:rFonts w:ascii="宋体" w:hAnsi="宋体"/>
                <w:b w:val="0"/>
                <w:bCs w:val="0"/>
                <w:color w:val="auto"/>
                <w:szCs w:val="21"/>
                <w:highlight w:val="none"/>
              </w:rPr>
              <w:t>.5</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hint="eastAsia" w:ascii="宋体" w:hAnsi="宋体" w:eastAsia="宋体"/>
                <w:b w:val="0"/>
                <w:bCs w:val="0"/>
                <w:color w:val="auto"/>
                <w:szCs w:val="21"/>
                <w:highlight w:val="none"/>
                <w:lang w:eastAsia="zh-CN"/>
              </w:rPr>
            </w:pPr>
            <w:r>
              <w:rPr>
                <w:rFonts w:ascii="宋体" w:hAnsi="宋体"/>
                <w:b w:val="0"/>
                <w:bCs w:val="0"/>
                <w:color w:val="auto"/>
                <w:szCs w:val="21"/>
                <w:highlight w:val="none"/>
              </w:rPr>
              <w:t>3</w:t>
            </w:r>
            <w:r>
              <w:rPr>
                <w:rFonts w:hint="eastAsia" w:ascii="宋体" w:hAnsi="宋体"/>
                <w:b w:val="0"/>
                <w:bCs w:val="0"/>
                <w:color w:val="auto"/>
                <w:szCs w:val="21"/>
                <w:highlight w:val="none"/>
                <w:lang w:val="en-US" w:eastAsia="zh-CN"/>
              </w:rPr>
              <w:t>6</w:t>
            </w:r>
          </w:p>
        </w:tc>
        <w:tc>
          <w:tcPr>
            <w:tcW w:w="993" w:type="dxa"/>
            <w:tcBorders>
              <w:top w:val="single" w:color="auto" w:sz="4" w:space="0"/>
              <w:left w:val="double" w:color="auto" w:sz="4" w:space="0"/>
              <w:bottom w:val="single" w:color="auto" w:sz="4" w:space="0"/>
              <w:right w:val="single" w:color="auto" w:sz="4" w:space="0"/>
            </w:tcBorders>
            <w:vAlign w:val="center"/>
          </w:tcPr>
          <w:p>
            <w:pPr>
              <w:widowControl/>
              <w:adjustRightInd w:val="0"/>
              <w:snapToGrid w:val="0"/>
              <w:jc w:val="center"/>
              <w:rPr>
                <w:rFonts w:ascii="宋体" w:hAnsi="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1104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1014</w:t>
            </w:r>
          </w:p>
        </w:tc>
        <w:tc>
          <w:tcPr>
            <w:tcW w:w="11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通识课</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r>
              <w:rPr>
                <w:rFonts w:ascii="宋体" w:hAnsi="宋体"/>
                <w:color w:val="auto"/>
                <w:szCs w:val="21"/>
                <w:highlight w:val="none"/>
              </w:rPr>
              <w:t>10</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ascii="宋体" w:hAnsi="宋体"/>
                <w:color w:val="auto"/>
                <w:szCs w:val="21"/>
                <w:highlight w:val="none"/>
              </w:rPr>
            </w:pPr>
            <w:r>
              <w:rPr>
                <w:rFonts w:hint="eastAsia" w:ascii="宋体" w:hAnsi="宋体"/>
                <w:color w:val="auto"/>
                <w:szCs w:val="21"/>
                <w:highlight w:val="none"/>
              </w:rPr>
              <w:t>6</w:t>
            </w:r>
          </w:p>
        </w:tc>
        <w:tc>
          <w:tcPr>
            <w:tcW w:w="99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160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160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工程基础课</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r>
              <w:rPr>
                <w:rFonts w:ascii="宋体" w:hAnsi="宋体"/>
                <w:color w:val="auto"/>
                <w:szCs w:val="21"/>
                <w:highlight w:val="none"/>
              </w:rPr>
              <w:t xml:space="preserve">17 </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ascii="宋体" w:hAnsi="宋体"/>
                <w:color w:val="auto"/>
                <w:szCs w:val="21"/>
                <w:highlight w:val="none"/>
              </w:rPr>
            </w:pPr>
            <w:r>
              <w:rPr>
                <w:rFonts w:hint="eastAsia" w:ascii="宋体" w:hAnsi="宋体"/>
                <w:color w:val="auto"/>
                <w:szCs w:val="21"/>
                <w:highlight w:val="none"/>
              </w:rPr>
              <w:t>10</w:t>
            </w:r>
          </w:p>
        </w:tc>
        <w:tc>
          <w:tcPr>
            <w:tcW w:w="99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272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212</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专业基础课</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r>
              <w:rPr>
                <w:rFonts w:ascii="宋体" w:hAnsi="宋体"/>
                <w:color w:val="auto"/>
                <w:szCs w:val="21"/>
                <w:highlight w:val="none"/>
              </w:rPr>
              <w:t>19</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99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304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ascii="宋体" w:hAnsi="宋体"/>
                <w:color w:val="auto"/>
                <w:szCs w:val="21"/>
                <w:highlight w:val="none"/>
              </w:rPr>
              <w:t>234</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专业课</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olor w:val="auto"/>
                <w:szCs w:val="21"/>
                <w:highlight w:val="none"/>
              </w:rPr>
              <w:t>37</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w:t>
            </w:r>
          </w:p>
        </w:tc>
        <w:tc>
          <w:tcPr>
            <w:tcW w:w="99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592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22</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专业实践课</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olor w:val="auto"/>
                <w:szCs w:val="21"/>
                <w:highlight w:val="none"/>
              </w:rPr>
              <w:t>23.5</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9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712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olor w:val="auto"/>
                <w:szCs w:val="21"/>
                <w:highlight w:val="none"/>
              </w:rPr>
              <w:t>712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zh-CN"/>
              </w:rPr>
            </w:pPr>
            <w:r>
              <w:rPr>
                <w:rFonts w:ascii="宋体" w:hAnsi="宋体"/>
                <w:color w:val="auto"/>
                <w:szCs w:val="21"/>
                <w:highlight w:val="none"/>
              </w:rPr>
              <w:t>16</w:t>
            </w:r>
            <w:r>
              <w:rPr>
                <w:rFonts w:hint="eastAsia" w:ascii="宋体" w:hAnsi="宋体"/>
                <w:color w:val="auto"/>
                <w:szCs w:val="21"/>
                <w:highlight w:val="none"/>
                <w:lang w:val="en-US" w:eastAsia="zh-CN"/>
              </w:rPr>
              <w:t>7</w:t>
            </w:r>
          </w:p>
        </w:tc>
        <w:tc>
          <w:tcPr>
            <w:tcW w:w="1275" w:type="dxa"/>
            <w:tcBorders>
              <w:top w:val="single" w:color="auto" w:sz="4" w:space="0"/>
              <w:left w:val="single" w:color="auto" w:sz="4" w:space="0"/>
              <w:bottom w:val="single" w:color="auto" w:sz="4" w:space="0"/>
              <w:right w:val="double" w:color="auto" w:sz="4" w:space="0"/>
            </w:tcBorders>
            <w:vAlign w:val="center"/>
          </w:tcPr>
          <w:p>
            <w:pPr>
              <w:widowControl/>
              <w:jc w:val="center"/>
              <w:rPr>
                <w:rFonts w:hint="default" w:ascii="宋体" w:hAnsi="宋体"/>
                <w:color w:val="auto"/>
                <w:szCs w:val="21"/>
                <w:highlight w:val="none"/>
              </w:rPr>
            </w:pPr>
            <w:r>
              <w:rPr>
                <w:rFonts w:hint="default" w:ascii="宋体" w:hAnsi="宋体"/>
                <w:color w:val="auto"/>
                <w:szCs w:val="21"/>
                <w:highlight w:val="none"/>
              </w:rPr>
              <w:fldChar w:fldCharType="begin"/>
            </w:r>
            <w:r>
              <w:rPr>
                <w:rFonts w:hint="default" w:ascii="宋体" w:hAnsi="宋体"/>
                <w:color w:val="auto"/>
                <w:szCs w:val="21"/>
                <w:highlight w:val="none"/>
              </w:rPr>
              <w:instrText xml:space="preserve"> =SUM(ABOVE) \* MERGEFORMAT </w:instrText>
            </w:r>
            <w:r>
              <w:rPr>
                <w:rFonts w:hint="default" w:ascii="宋体" w:hAnsi="宋体"/>
                <w:color w:val="auto"/>
                <w:szCs w:val="21"/>
                <w:highlight w:val="none"/>
              </w:rPr>
              <w:fldChar w:fldCharType="separate"/>
            </w:r>
            <w:r>
              <w:rPr>
                <w:rFonts w:hint="default" w:ascii="宋体" w:hAnsi="宋体"/>
                <w:color w:val="auto"/>
                <w:szCs w:val="21"/>
                <w:highlight w:val="none"/>
              </w:rPr>
              <w:t>100</w:t>
            </w:r>
            <w:r>
              <w:rPr>
                <w:rFonts w:hint="default" w:ascii="宋体" w:hAnsi="宋体"/>
                <w:color w:val="auto"/>
                <w:szCs w:val="21"/>
                <w:highlight w:val="none"/>
              </w:rPr>
              <w:fldChar w:fldCharType="end"/>
            </w:r>
          </w:p>
        </w:tc>
        <w:tc>
          <w:tcPr>
            <w:tcW w:w="993" w:type="dxa"/>
            <w:tcBorders>
              <w:top w:val="single" w:color="auto" w:sz="4" w:space="0"/>
              <w:left w:val="doub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3144</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2042</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1102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exact"/>
          <w:jc w:val="center"/>
        </w:trPr>
        <w:tc>
          <w:tcPr>
            <w:tcW w:w="2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ascii="宋体" w:hAnsi="宋体" w:cs="宋体"/>
                <w:color w:val="auto"/>
                <w:kern w:val="0"/>
                <w:szCs w:val="21"/>
                <w:highlight w:val="none"/>
              </w:rPr>
              <w:t>35</w:t>
            </w:r>
          </w:p>
        </w:tc>
      </w:tr>
    </w:tbl>
    <w:p>
      <w:pPr>
        <w:adjustRightInd w:val="0"/>
        <w:snapToGrid w:val="0"/>
        <w:spacing w:line="360" w:lineRule="auto"/>
        <w:rPr>
          <w:rFonts w:eastAsia="黑体"/>
          <w:b/>
          <w:color w:val="auto"/>
          <w:highlight w:val="none"/>
        </w:rPr>
      </w:pPr>
    </w:p>
    <w:p>
      <w:pPr>
        <w:adjustRightInd w:val="0"/>
        <w:snapToGrid w:val="0"/>
        <w:spacing w:line="360" w:lineRule="auto"/>
        <w:rPr>
          <w:rFonts w:eastAsia="黑体"/>
          <w:b/>
          <w:color w:val="auto"/>
          <w:highlight w:val="none"/>
        </w:rPr>
      </w:pPr>
    </w:p>
    <w:p>
      <w:pPr>
        <w:adjustRightInd w:val="0"/>
        <w:snapToGrid w:val="0"/>
        <w:spacing w:line="360" w:lineRule="auto"/>
        <w:rPr>
          <w:rFonts w:ascii="黑体" w:hAnsi="黑体" w:eastAsia="黑体" w:cs="黑体"/>
          <w:b/>
          <w:color w:val="auto"/>
          <w:highlight w:val="none"/>
        </w:rPr>
      </w:pPr>
      <w:r>
        <w:rPr>
          <w:rFonts w:eastAsia="黑体"/>
          <w:b/>
          <w:color w:val="auto"/>
          <w:highlight w:val="none"/>
        </w:rPr>
        <w:br w:type="page"/>
      </w:r>
      <w:bookmarkStart w:id="0" w:name="_Hlk37406431"/>
      <w:r>
        <w:rPr>
          <w:rFonts w:hint="eastAsia" w:ascii="黑体" w:hAnsi="黑体" w:eastAsia="黑体" w:cs="黑体"/>
          <w:b/>
          <w:color w:val="auto"/>
          <w:highlight w:val="none"/>
        </w:rPr>
        <w:t>九、教学安排一览表（1）</w:t>
      </w:r>
    </w:p>
    <w:tbl>
      <w:tblPr>
        <w:tblStyle w:val="5"/>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425"/>
        <w:gridCol w:w="425"/>
        <w:gridCol w:w="993"/>
        <w:gridCol w:w="2835"/>
        <w:gridCol w:w="425"/>
        <w:gridCol w:w="567"/>
        <w:gridCol w:w="523"/>
        <w:gridCol w:w="611"/>
        <w:gridCol w:w="52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84"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程</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别</w:t>
            </w:r>
          </w:p>
        </w:tc>
        <w:tc>
          <w:tcPr>
            <w:tcW w:w="425"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程</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性</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质</w:t>
            </w:r>
          </w:p>
        </w:tc>
        <w:tc>
          <w:tcPr>
            <w:tcW w:w="425"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开</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院</w:t>
            </w:r>
          </w:p>
        </w:tc>
        <w:tc>
          <w:tcPr>
            <w:tcW w:w="993"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课程代码</w:t>
            </w:r>
          </w:p>
        </w:tc>
        <w:tc>
          <w:tcPr>
            <w:tcW w:w="2835"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课程名称</w:t>
            </w:r>
          </w:p>
        </w:tc>
        <w:tc>
          <w:tcPr>
            <w:tcW w:w="425"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考</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核</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方</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式</w:t>
            </w:r>
          </w:p>
        </w:tc>
        <w:tc>
          <w:tcPr>
            <w:tcW w:w="567"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分</w:t>
            </w:r>
          </w:p>
        </w:tc>
        <w:tc>
          <w:tcPr>
            <w:tcW w:w="523"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时</w:t>
            </w:r>
          </w:p>
        </w:tc>
        <w:tc>
          <w:tcPr>
            <w:tcW w:w="611"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理</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论</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时</w:t>
            </w:r>
          </w:p>
        </w:tc>
        <w:tc>
          <w:tcPr>
            <w:tcW w:w="523"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实</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践</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时</w:t>
            </w:r>
          </w:p>
        </w:tc>
        <w:tc>
          <w:tcPr>
            <w:tcW w:w="1036" w:type="dxa"/>
            <w:vMerge w:val="restart"/>
            <w:tcBorders>
              <w:tl2br w:val="nil"/>
              <w:tr2bl w:val="nil"/>
            </w:tcBorders>
            <w:vAlign w:val="center"/>
          </w:tcPr>
          <w:p>
            <w:pPr>
              <w:widowControl/>
              <w:adjustRightInd w:val="0"/>
              <w:snapToGrid w:val="0"/>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rPr>
              <w:t>建议</w:t>
            </w:r>
          </w:p>
          <w:p>
            <w:pPr>
              <w:widowControl/>
              <w:adjustRightInd w:val="0"/>
              <w:snapToGrid w:val="0"/>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rPr>
              <w:t>修读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99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283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67"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611"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1036" w:type="dxa"/>
            <w:vMerge w:val="continue"/>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99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283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67"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611"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1036" w:type="dxa"/>
            <w:vMerge w:val="continue"/>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99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283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67"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611"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1036" w:type="dxa"/>
            <w:vMerge w:val="continue"/>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restart"/>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公</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共</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基</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础</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b1080001</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马克思主义基本原理</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b108000</w:t>
            </w:r>
            <w:r>
              <w:rPr>
                <w:rFonts w:ascii="宋体" w:hAnsi="宋体" w:cs="宋体"/>
                <w:color w:val="auto"/>
                <w:kern w:val="0"/>
                <w:sz w:val="20"/>
                <w:szCs w:val="20"/>
                <w:highlight w:val="none"/>
              </w:rPr>
              <w:t>9</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思想道德与法治</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b1080006</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中国近现代史纲要</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jc w:val="center"/>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b1080010</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毛泽东思想和中国特色社会主义理论体系概论</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kern w:val="0"/>
                <w:sz w:val="20"/>
                <w:szCs w:val="20"/>
                <w:highlight w:val="none"/>
              </w:rPr>
              <w:t>春</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b1080011</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习近平新时代中国特色社会主义思想概论</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s="宋体"/>
                <w:color w:val="auto"/>
                <w:kern w:val="0"/>
                <w:sz w:val="20"/>
                <w:szCs w:val="20"/>
                <w:highlight w:val="none"/>
              </w:rPr>
              <w:t>42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s="宋体"/>
                <w:color w:val="auto"/>
                <w:kern w:val="0"/>
                <w:sz w:val="20"/>
                <w:szCs w:val="20"/>
                <w:highlight w:val="none"/>
              </w:rPr>
              <w:t>6</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形势与政策(模块1～4)</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r>
              <w:rPr>
                <w:rFonts w:hint="eastAsia" w:ascii="宋体" w:hAnsi="宋体" w:cs="宋体"/>
                <w:color w:val="auto"/>
                <w:kern w:val="0"/>
                <w:sz w:val="20"/>
                <w:szCs w:val="20"/>
                <w:highlight w:val="none"/>
              </w:rPr>
              <w:t>～春</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b1080008</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劳动教育A</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0.5</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112</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高等数学D1</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113</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高等数学D2</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b1020063</w:t>
            </w:r>
          </w:p>
        </w:tc>
        <w:tc>
          <w:tcPr>
            <w:tcW w:w="2835" w:type="dxa"/>
            <w:tcBorders>
              <w:tl2br w:val="nil"/>
              <w:tr2bl w:val="nil"/>
            </w:tcBorders>
            <w:vAlign w:val="center"/>
          </w:tcPr>
          <w:p>
            <w:pPr>
              <w:widowControl/>
              <w:adjustRightInd w:val="0"/>
              <w:snapToGrid w:val="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大学物理A(模块2)</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b1020065</w:t>
            </w:r>
          </w:p>
        </w:tc>
        <w:tc>
          <w:tcPr>
            <w:tcW w:w="2835" w:type="dxa"/>
            <w:tcBorders>
              <w:tl2br w:val="nil"/>
              <w:tr2bl w:val="nil"/>
            </w:tcBorders>
            <w:vAlign w:val="center"/>
          </w:tcPr>
          <w:p>
            <w:pPr>
              <w:widowControl/>
              <w:adjustRightInd w:val="0"/>
              <w:snapToGrid w:val="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大学物理B</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111</w:t>
            </w:r>
          </w:p>
        </w:tc>
        <w:tc>
          <w:tcPr>
            <w:tcW w:w="2835" w:type="dxa"/>
            <w:tcBorders>
              <w:tl2br w:val="nil"/>
              <w:tr2bl w:val="nil"/>
            </w:tcBorders>
            <w:vAlign w:val="center"/>
          </w:tcPr>
          <w:p>
            <w:pPr>
              <w:widowControl/>
              <w:adjustRightInd w:val="0"/>
              <w:snapToGrid w:val="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大学物理C </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108</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线性代数</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数统</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114</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概率论与数理统计</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b1020018</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大学语文 </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体育I～VI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160</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160</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r>
              <w:rPr>
                <w:rFonts w:hint="eastAsia" w:ascii="宋体" w:hAnsi="宋体" w:cs="宋体"/>
                <w:color w:val="auto"/>
                <w:kern w:val="0"/>
                <w:sz w:val="20"/>
                <w:szCs w:val="20"/>
                <w:highlight w:val="none"/>
              </w:rPr>
              <w:t>～秋</w:t>
            </w:r>
            <w:r>
              <w:rPr>
                <w:rFonts w:ascii="宋体" w:hAnsi="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l2br w:val="nil"/>
              <w:tr2bl w:val="nil"/>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其他</w:t>
            </w:r>
          </w:p>
        </w:tc>
        <w:tc>
          <w:tcPr>
            <w:tcW w:w="993" w:type="dxa"/>
            <w:tcBorders>
              <w:tl2br w:val="nil"/>
              <w:tr2bl w:val="nil"/>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b1110004</w:t>
            </w:r>
          </w:p>
        </w:tc>
        <w:tc>
          <w:tcPr>
            <w:tcW w:w="2835" w:type="dxa"/>
            <w:tcBorders>
              <w:tl2br w:val="nil"/>
              <w:tr2bl w:val="nil"/>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大学生心理健康教育</w:t>
            </w:r>
          </w:p>
        </w:tc>
        <w:tc>
          <w:tcPr>
            <w:tcW w:w="425" w:type="dxa"/>
            <w:tcBorders>
              <w:tl2br w:val="nil"/>
              <w:tr2bl w:val="nil"/>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23" w:type="dxa"/>
            <w:tcBorders>
              <w:tl2br w:val="nil"/>
              <w:tr2bl w:val="nil"/>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611" w:type="dxa"/>
            <w:tcBorders>
              <w:tl2br w:val="nil"/>
              <w:tr2bl w:val="nil"/>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1</w:t>
            </w:r>
            <w:r>
              <w:rPr>
                <w:rFonts w:ascii="宋体" w:hAnsi="宋体" w:cs="Arial Unicode MS"/>
                <w:color w:val="auto"/>
                <w:sz w:val="20"/>
                <w:szCs w:val="20"/>
                <w:highlight w:val="none"/>
              </w:rPr>
              <w:t>6</w:t>
            </w:r>
          </w:p>
        </w:tc>
        <w:tc>
          <w:tcPr>
            <w:tcW w:w="523" w:type="dxa"/>
            <w:tcBorders>
              <w:tl2br w:val="nil"/>
              <w:tr2bl w:val="nil"/>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1</w:t>
            </w:r>
            <w:r>
              <w:rPr>
                <w:rFonts w:ascii="宋体" w:hAnsi="宋体" w:cs="Arial Unicode MS"/>
                <w:color w:val="auto"/>
                <w:sz w:val="20"/>
                <w:szCs w:val="20"/>
                <w:highlight w:val="none"/>
              </w:rPr>
              <w:t>6</w:t>
            </w:r>
          </w:p>
        </w:tc>
        <w:tc>
          <w:tcPr>
            <w:tcW w:w="1036" w:type="dxa"/>
            <w:tcBorders>
              <w:tl2br w:val="nil"/>
              <w:tr2bl w:val="nil"/>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b1110003</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宋体"/>
                <w:color w:val="auto"/>
                <w:kern w:val="0"/>
                <w:sz w:val="20"/>
                <w:szCs w:val="20"/>
                <w:highlight w:val="none"/>
              </w:rPr>
              <w:t>军事技能</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0.5</w:t>
            </w:r>
          </w:p>
        </w:tc>
        <w:tc>
          <w:tcPr>
            <w:tcW w:w="523" w:type="dxa"/>
            <w:tcBorders>
              <w:tl2br w:val="nil"/>
              <w:tr2bl w:val="nil"/>
            </w:tcBorders>
            <w:vAlign w:val="center"/>
          </w:tcPr>
          <w:p>
            <w:pPr>
              <w:widowControl/>
              <w:adjustRightInd w:val="0"/>
              <w:snapToGrid w:val="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其他</w:t>
            </w:r>
          </w:p>
        </w:tc>
        <w:tc>
          <w:tcPr>
            <w:tcW w:w="993"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b1110002</w:t>
            </w:r>
          </w:p>
        </w:tc>
        <w:tc>
          <w:tcPr>
            <w:tcW w:w="2835" w:type="dxa"/>
            <w:tcBorders>
              <w:tl2br w:val="nil"/>
              <w:tr2bl w:val="nil"/>
            </w:tcBorders>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 xml:space="preserve">军事理论 </w:t>
            </w:r>
          </w:p>
        </w:tc>
        <w:tc>
          <w:tcPr>
            <w:tcW w:w="425"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3"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611" w:type="dxa"/>
            <w:tcBorders>
              <w:tl2br w:val="nil"/>
              <w:tr2bl w:val="nil"/>
            </w:tcBorders>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23" w:type="dxa"/>
            <w:tcBorders>
              <w:tl2br w:val="nil"/>
              <w:tr2bl w:val="nil"/>
            </w:tcBorders>
            <w:vAlign w:val="center"/>
          </w:tcPr>
          <w:p>
            <w:pPr>
              <w:jc w:val="center"/>
              <w:rPr>
                <w:rFonts w:ascii="宋体" w:hAnsi="宋体"/>
                <w:color w:val="auto"/>
                <w:sz w:val="20"/>
                <w:szCs w:val="20"/>
                <w:highlight w:val="none"/>
              </w:rPr>
            </w:pPr>
          </w:p>
        </w:tc>
        <w:tc>
          <w:tcPr>
            <w:tcW w:w="1036" w:type="dxa"/>
            <w:tcBorders>
              <w:tl2br w:val="nil"/>
              <w:tr2bl w:val="nil"/>
            </w:tcBorders>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计信</w:t>
            </w:r>
          </w:p>
        </w:tc>
        <w:tc>
          <w:tcPr>
            <w:tcW w:w="993"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b1012001</w:t>
            </w:r>
          </w:p>
        </w:tc>
        <w:tc>
          <w:tcPr>
            <w:tcW w:w="2835" w:type="dxa"/>
            <w:tcBorders>
              <w:tl2br w:val="nil"/>
              <w:tr2bl w:val="nil"/>
            </w:tcBorders>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人工智能应用与实践</w:t>
            </w:r>
          </w:p>
        </w:tc>
        <w:tc>
          <w:tcPr>
            <w:tcW w:w="425"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567"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3"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611"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523" w:type="dxa"/>
            <w:tcBorders>
              <w:tl2br w:val="nil"/>
              <w:tr2bl w:val="nil"/>
            </w:tcBorders>
            <w:vAlign w:val="center"/>
          </w:tcPr>
          <w:p>
            <w:pPr>
              <w:jc w:val="center"/>
              <w:rPr>
                <w:rFonts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1036" w:type="dxa"/>
            <w:tcBorders>
              <w:tl2br w:val="nil"/>
              <w:tr2bl w:val="nil"/>
            </w:tcBorders>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资环</w:t>
            </w:r>
          </w:p>
        </w:tc>
        <w:tc>
          <w:tcPr>
            <w:tcW w:w="993"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b1013002</w:t>
            </w:r>
          </w:p>
        </w:tc>
        <w:tc>
          <w:tcPr>
            <w:tcW w:w="2835" w:type="dxa"/>
            <w:tcBorders>
              <w:tl2br w:val="nil"/>
              <w:tr2bl w:val="nil"/>
            </w:tcBorders>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绿色低碳与生态文明</w:t>
            </w:r>
          </w:p>
        </w:tc>
        <w:tc>
          <w:tcPr>
            <w:tcW w:w="425"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567"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3"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611" w:type="dxa"/>
            <w:tcBorders>
              <w:tl2br w:val="nil"/>
              <w:tr2bl w:val="nil"/>
            </w:tcBorders>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16</w:t>
            </w:r>
          </w:p>
        </w:tc>
        <w:tc>
          <w:tcPr>
            <w:tcW w:w="523" w:type="dxa"/>
            <w:tcBorders>
              <w:tl2br w:val="nil"/>
              <w:tr2bl w:val="nil"/>
            </w:tcBorders>
            <w:vAlign w:val="center"/>
          </w:tcPr>
          <w:p>
            <w:pPr>
              <w:jc w:val="center"/>
              <w:rPr>
                <w:rFonts w:ascii="宋体" w:hAnsi="宋体"/>
                <w:color w:val="auto"/>
                <w:sz w:val="20"/>
                <w:szCs w:val="20"/>
                <w:highlight w:val="none"/>
              </w:rPr>
            </w:pPr>
            <w:r>
              <w:rPr>
                <w:rFonts w:hint="eastAsia" w:ascii="宋体" w:hAnsi="宋体" w:cs="Arial Unicode MS"/>
                <w:color w:val="auto"/>
                <w:sz w:val="20"/>
                <w:szCs w:val="20"/>
                <w:highlight w:val="none"/>
                <w:lang w:val="en-US" w:eastAsia="zh-CN"/>
              </w:rPr>
              <w:t>0</w:t>
            </w:r>
          </w:p>
        </w:tc>
        <w:tc>
          <w:tcPr>
            <w:tcW w:w="1036" w:type="dxa"/>
            <w:tcBorders>
              <w:tl2br w:val="nil"/>
              <w:tr2bl w:val="nil"/>
            </w:tcBorders>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lang w:eastAsia="zh-CN"/>
              </w:rPr>
              <w:t>春</w:t>
            </w:r>
            <w:r>
              <w:rPr>
                <w:rFonts w:hint="eastAsia" w:ascii="宋体" w:hAnsi="宋体"/>
                <w:color w:val="auto"/>
                <w:sz w:val="20"/>
                <w:szCs w:val="2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模</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b1020003</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大学</w:t>
            </w: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块</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b1020004</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通用英语IV</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英语</w:t>
            </w: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A</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b1020005</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学术英语A</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op w:val="nil"/>
            </w:tcBorders>
            <w:vAlign w:val="center"/>
          </w:tcPr>
          <w:p>
            <w:pPr>
              <w:widowControl/>
              <w:adjustRightInd w:val="0"/>
              <w:snapToGrid w:val="0"/>
              <w:jc w:val="center"/>
              <w:rPr>
                <w:rFonts w:ascii="宋体" w:hAnsi="宋体" w:cs="宋体"/>
                <w:color w:val="auto"/>
                <w:kern w:val="0"/>
                <w:sz w:val="20"/>
                <w:szCs w:val="20"/>
                <w:highlight w:val="none"/>
              </w:rPr>
            </w:pP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外语拓展</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选修</w:t>
            </w:r>
          </w:p>
        </w:tc>
        <w:tc>
          <w:tcPr>
            <w:tcW w:w="425" w:type="dxa"/>
            <w:tcBorders>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模</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b1020002</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1个</w:t>
            </w: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块</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b1020003</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模块</w:t>
            </w: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B</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b1020006</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学术英语B</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10</w:t>
            </w:r>
          </w:p>
        </w:tc>
        <w:tc>
          <w:tcPr>
            <w:tcW w:w="425" w:type="dxa"/>
            <w:tcBorders>
              <w:top w:val="nil"/>
            </w:tcBorders>
            <w:vAlign w:val="center"/>
          </w:tcPr>
          <w:p>
            <w:pPr>
              <w:widowControl/>
              <w:adjustRightInd w:val="0"/>
              <w:snapToGrid w:val="0"/>
              <w:jc w:val="center"/>
              <w:rPr>
                <w:rFonts w:ascii="宋体" w:hAnsi="宋体" w:cs="宋体"/>
                <w:color w:val="auto"/>
                <w:kern w:val="0"/>
                <w:sz w:val="20"/>
                <w:szCs w:val="20"/>
                <w:highlight w:val="none"/>
              </w:rPr>
            </w:pP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外语拓展</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学分</w:t>
            </w:r>
          </w:p>
        </w:tc>
        <w:tc>
          <w:tcPr>
            <w:tcW w:w="425" w:type="dxa"/>
            <w:tcBorders>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模</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b1020001</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64</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64</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块</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b1020002</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tcBorders>
            <w:vAlign w:val="center"/>
          </w:tcPr>
          <w:p>
            <w:pPr>
              <w:widowControl/>
              <w:adjustRightInd w:val="0"/>
              <w:snapToGrid w:val="0"/>
              <w:jc w:val="center"/>
              <w:rPr>
                <w:rFonts w:ascii="宋体" w:hAnsi="宋体" w:cs="宋体"/>
                <w:color w:val="auto"/>
                <w:kern w:val="0"/>
                <w:sz w:val="20"/>
                <w:szCs w:val="20"/>
                <w:highlight w:val="none"/>
              </w:rPr>
            </w:pPr>
          </w:p>
        </w:tc>
        <w:tc>
          <w:tcPr>
            <w:tcW w:w="425" w:type="dxa"/>
            <w:tcBorders>
              <w:top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C</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b1020003</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olor w:val="auto"/>
                <w:sz w:val="20"/>
                <w:szCs w:val="20"/>
                <w:highlight w:val="none"/>
              </w:rPr>
              <w:t>通用英语III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b1020040</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Arial"/>
                <w:color w:val="auto"/>
                <w:sz w:val="20"/>
                <w:szCs w:val="20"/>
                <w:highlight w:val="none"/>
              </w:rPr>
              <w:t>大学德语I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大学</w:t>
            </w:r>
          </w:p>
        </w:tc>
        <w:tc>
          <w:tcPr>
            <w:tcW w:w="425" w:type="dxa"/>
            <w:tcBorders>
              <w:tl2br w:val="nil"/>
              <w:tr2bl w:val="nil"/>
            </w:tcBorders>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b1020041</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Arial"/>
                <w:color w:val="auto"/>
                <w:sz w:val="20"/>
                <w:szCs w:val="20"/>
                <w:highlight w:val="none"/>
              </w:rPr>
              <w:t>大学德语II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德语</w:t>
            </w:r>
          </w:p>
        </w:tc>
        <w:tc>
          <w:tcPr>
            <w:tcW w:w="425" w:type="dxa"/>
            <w:tcBorders>
              <w:tl2br w:val="nil"/>
              <w:tr2bl w:val="nil"/>
            </w:tcBorders>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b1020042</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Arial"/>
                <w:color w:val="auto"/>
                <w:sz w:val="20"/>
                <w:szCs w:val="20"/>
                <w:highlight w:val="none"/>
              </w:rPr>
              <w:t>大学德语III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l2br w:val="nil"/>
              <w:tr2bl w:val="nil"/>
            </w:tcBorders>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b1020077</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Arial"/>
                <w:color w:val="auto"/>
                <w:sz w:val="20"/>
                <w:szCs w:val="20"/>
                <w:highlight w:val="none"/>
              </w:rPr>
              <w:t>大学日语I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大学</w:t>
            </w:r>
          </w:p>
        </w:tc>
        <w:tc>
          <w:tcPr>
            <w:tcW w:w="425" w:type="dxa"/>
            <w:tcBorders>
              <w:tl2br w:val="nil"/>
              <w:tr2bl w:val="nil"/>
            </w:tcBorders>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b1020078</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Arial"/>
                <w:color w:val="auto"/>
                <w:sz w:val="20"/>
                <w:szCs w:val="20"/>
                <w:highlight w:val="none"/>
              </w:rPr>
              <w:t>大学日语II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日语</w:t>
            </w:r>
          </w:p>
        </w:tc>
        <w:tc>
          <w:tcPr>
            <w:tcW w:w="425" w:type="dxa"/>
            <w:tcBorders>
              <w:tl2br w:val="nil"/>
              <w:tr2bl w:val="nil"/>
            </w:tcBorders>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b1020079</w:t>
            </w:r>
          </w:p>
        </w:tc>
        <w:tc>
          <w:tcPr>
            <w:tcW w:w="2835" w:type="dxa"/>
            <w:tcBorders>
              <w:tl2br w:val="nil"/>
              <w:tr2bl w:val="nil"/>
            </w:tcBorders>
            <w:vAlign w:val="center"/>
          </w:tcPr>
          <w:p>
            <w:pPr>
              <w:widowControl/>
              <w:adjustRightInd w:val="0"/>
              <w:snapToGrid w:val="0"/>
              <w:rPr>
                <w:rFonts w:ascii="宋体" w:hAnsi="宋体" w:cs="宋体"/>
                <w:color w:val="auto"/>
                <w:kern w:val="0"/>
                <w:sz w:val="20"/>
                <w:szCs w:val="20"/>
                <w:highlight w:val="none"/>
              </w:rPr>
            </w:pPr>
            <w:r>
              <w:rPr>
                <w:rFonts w:hint="eastAsia" w:ascii="宋体" w:hAnsi="宋体" w:cs="Arial"/>
                <w:color w:val="auto"/>
                <w:sz w:val="20"/>
                <w:szCs w:val="20"/>
                <w:highlight w:val="none"/>
              </w:rPr>
              <w:t>大学日语III</w:t>
            </w:r>
          </w:p>
        </w:tc>
        <w:tc>
          <w:tcPr>
            <w:tcW w:w="425"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611"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523"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4962" w:type="dxa"/>
            <w:gridSpan w:val="5"/>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小计（公共基础课）</w:t>
            </w:r>
          </w:p>
        </w:tc>
        <w:tc>
          <w:tcPr>
            <w:tcW w:w="425"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　</w:t>
            </w:r>
          </w:p>
        </w:tc>
        <w:tc>
          <w:tcPr>
            <w:tcW w:w="567"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lang w:val="en-US" w:eastAsia="zh-CN"/>
              </w:rPr>
              <w:t>60</w:t>
            </w:r>
            <w:r>
              <w:rPr>
                <w:rFonts w:ascii="宋体" w:hAnsi="宋体" w:cs="宋体"/>
                <w:b/>
                <w:bCs/>
                <w:color w:val="auto"/>
                <w:kern w:val="0"/>
                <w:sz w:val="20"/>
                <w:szCs w:val="20"/>
                <w:highlight w:val="none"/>
              </w:rPr>
              <w:t>.5</w:t>
            </w:r>
          </w:p>
        </w:tc>
        <w:tc>
          <w:tcPr>
            <w:tcW w:w="523" w:type="dxa"/>
            <w:tcBorders>
              <w:tl2br w:val="nil"/>
              <w:tr2bl w:val="nil"/>
            </w:tcBorders>
            <w:shd w:val="clear" w:color="auto" w:fill="D9D9D9"/>
            <w:vAlign w:val="center"/>
          </w:tcPr>
          <w:p>
            <w:pPr>
              <w:widowControl/>
              <w:adjustRightInd w:val="0"/>
              <w:snapToGrid w:val="0"/>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1104</w:t>
            </w:r>
          </w:p>
        </w:tc>
        <w:tc>
          <w:tcPr>
            <w:tcW w:w="611" w:type="dxa"/>
            <w:tcBorders>
              <w:tl2br w:val="nil"/>
              <w:tr2bl w:val="nil"/>
            </w:tcBorders>
            <w:shd w:val="clear" w:color="auto" w:fill="D9D9D9"/>
            <w:vAlign w:val="center"/>
          </w:tcPr>
          <w:p>
            <w:pPr>
              <w:widowControl/>
              <w:adjustRightInd w:val="0"/>
              <w:snapToGrid w:val="0"/>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1014</w:t>
            </w:r>
          </w:p>
        </w:tc>
        <w:tc>
          <w:tcPr>
            <w:tcW w:w="523" w:type="dxa"/>
            <w:tcBorders>
              <w:tl2br w:val="nil"/>
              <w:tr2bl w:val="nil"/>
            </w:tcBorders>
            <w:shd w:val="clear" w:color="auto" w:fill="D9D9D9"/>
            <w:vAlign w:val="center"/>
          </w:tcPr>
          <w:p>
            <w:pPr>
              <w:widowControl/>
              <w:adjustRightInd w:val="0"/>
              <w:snapToGrid w:val="0"/>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90</w:t>
            </w:r>
          </w:p>
        </w:tc>
        <w:tc>
          <w:tcPr>
            <w:tcW w:w="1036" w:type="dxa"/>
            <w:tcBorders>
              <w:tl2br w:val="nil"/>
              <w:tr2bl w:val="nil"/>
            </w:tcBorders>
            <w:shd w:val="clear" w:color="auto" w:fill="D9D9D9"/>
            <w:vAlign w:val="center"/>
          </w:tcPr>
          <w:p>
            <w:pPr>
              <w:widowControl/>
              <w:adjustRightInd w:val="0"/>
              <w:snapToGrid w:val="0"/>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284" w:type="dxa"/>
            <w:vMerge w:val="restart"/>
            <w:tcBorders>
              <w:tl2br w:val="nil"/>
              <w:tr2bl w:val="nil"/>
            </w:tcBorders>
            <w:vAlign w:val="center"/>
          </w:tcPr>
          <w:p>
            <w:pPr>
              <w:widowControl/>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通识课</w:t>
            </w:r>
          </w:p>
        </w:tc>
        <w:tc>
          <w:tcPr>
            <w:tcW w:w="425"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w:t>
            </w:r>
          </w:p>
        </w:tc>
        <w:tc>
          <w:tcPr>
            <w:tcW w:w="425" w:type="dxa"/>
            <w:tcBorders>
              <w:tl2br w:val="nil"/>
              <w:tr2bl w:val="nil"/>
            </w:tcBorders>
            <w:vAlign w:val="center"/>
          </w:tcPr>
          <w:p>
            <w:pPr>
              <w:widowControl/>
              <w:adjustRightInd w:val="0"/>
              <w:snapToGrid w:val="0"/>
              <w:jc w:val="center"/>
              <w:rPr>
                <w:rFonts w:ascii="宋体" w:hAnsi="宋体"/>
                <w:color w:val="auto"/>
                <w:sz w:val="16"/>
                <w:szCs w:val="16"/>
                <w:highlight w:val="none"/>
              </w:rPr>
            </w:pPr>
            <w:r>
              <w:rPr>
                <w:rFonts w:hint="eastAsia" w:ascii="宋体" w:hAnsi="宋体"/>
                <w:color w:val="auto"/>
                <w:sz w:val="16"/>
                <w:szCs w:val="16"/>
                <w:highlight w:val="none"/>
              </w:rPr>
              <w:t>艺术中心</w:t>
            </w:r>
          </w:p>
        </w:tc>
        <w:tc>
          <w:tcPr>
            <w:tcW w:w="993"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b0-----</w:t>
            </w:r>
          </w:p>
        </w:tc>
        <w:tc>
          <w:tcPr>
            <w:tcW w:w="2835" w:type="dxa"/>
            <w:tcBorders>
              <w:tl2br w:val="nil"/>
              <w:tr2bl w:val="nil"/>
            </w:tcBorders>
            <w:vAlign w:val="center"/>
          </w:tcPr>
          <w:p>
            <w:pPr>
              <w:widowControl/>
              <w:adjustRightInd w:val="0"/>
              <w:snapToGrid w:val="0"/>
              <w:rPr>
                <w:rFonts w:ascii="宋体" w:hAnsi="宋体" w:cs="Arial"/>
                <w:color w:val="auto"/>
                <w:kern w:val="0"/>
                <w:sz w:val="20"/>
                <w:szCs w:val="20"/>
                <w:highlight w:val="none"/>
              </w:rPr>
            </w:pPr>
            <w:r>
              <w:rPr>
                <w:rFonts w:hint="eastAsia" w:ascii="宋体" w:hAnsi="宋体" w:cs="Arial"/>
                <w:color w:val="auto"/>
                <w:kern w:val="0"/>
                <w:sz w:val="20"/>
                <w:szCs w:val="20"/>
                <w:highlight w:val="none"/>
              </w:rPr>
              <w:t>美育</w:t>
            </w:r>
          </w:p>
        </w:tc>
        <w:tc>
          <w:tcPr>
            <w:tcW w:w="425"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611"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523" w:type="dxa"/>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exact"/>
        </w:trPr>
        <w:tc>
          <w:tcPr>
            <w:tcW w:w="284" w:type="dxa"/>
            <w:vMerge w:val="continue"/>
            <w:tcBorders>
              <w:tl2br w:val="nil"/>
              <w:tr2bl w:val="nil"/>
            </w:tcBorders>
            <w:vAlign w:val="center"/>
          </w:tcPr>
          <w:p>
            <w:pPr>
              <w:widowControl/>
              <w:adjustRightInd w:val="0"/>
              <w:snapToGrid w:val="0"/>
              <w:jc w:val="center"/>
              <w:rPr>
                <w:rFonts w:ascii="宋体" w:hAnsi="宋体"/>
                <w:b/>
                <w:color w:val="auto"/>
                <w:sz w:val="20"/>
                <w:szCs w:val="20"/>
                <w:highlight w:val="none"/>
              </w:rPr>
            </w:pPr>
          </w:p>
        </w:tc>
        <w:tc>
          <w:tcPr>
            <w:tcW w:w="425" w:type="dxa"/>
            <w:vMerge w:val="restart"/>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w:t>
            </w:r>
          </w:p>
        </w:tc>
        <w:tc>
          <w:tcPr>
            <w:tcW w:w="425" w:type="dxa"/>
            <w:vMerge w:val="restart"/>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18"/>
                <w:szCs w:val="18"/>
                <w:highlight w:val="none"/>
              </w:rPr>
              <w:t>各学院</w:t>
            </w:r>
          </w:p>
        </w:tc>
        <w:tc>
          <w:tcPr>
            <w:tcW w:w="993" w:type="dxa"/>
            <w:vMerge w:val="restart"/>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b0-----</w:t>
            </w:r>
          </w:p>
        </w:tc>
        <w:tc>
          <w:tcPr>
            <w:tcW w:w="2835" w:type="dxa"/>
            <w:tcBorders>
              <w:tl2br w:val="nil"/>
              <w:tr2bl w:val="nil"/>
            </w:tcBorders>
            <w:vAlign w:val="center"/>
          </w:tcPr>
          <w:p>
            <w:pPr>
              <w:widowControl/>
              <w:adjustRightInd w:val="0"/>
              <w:snapToGrid w:val="0"/>
              <w:rPr>
                <w:rFonts w:ascii="宋体" w:hAnsi="宋体" w:cs="Arial"/>
                <w:color w:val="auto"/>
                <w:kern w:val="0"/>
                <w:sz w:val="20"/>
                <w:szCs w:val="20"/>
                <w:highlight w:val="none"/>
              </w:rPr>
            </w:pPr>
            <w:r>
              <w:rPr>
                <w:rFonts w:hint="eastAsia" w:ascii="宋体" w:hAnsi="宋体" w:cs="Arial"/>
                <w:color w:val="auto"/>
                <w:kern w:val="0"/>
                <w:sz w:val="20"/>
                <w:szCs w:val="20"/>
                <w:highlight w:val="none"/>
              </w:rPr>
              <w:t>社会科学与人文素养</w:t>
            </w:r>
          </w:p>
        </w:tc>
        <w:tc>
          <w:tcPr>
            <w:tcW w:w="425"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611"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exact"/>
        </w:trPr>
        <w:tc>
          <w:tcPr>
            <w:tcW w:w="284" w:type="dxa"/>
            <w:vMerge w:val="continue"/>
            <w:tcBorders>
              <w:tl2br w:val="nil"/>
              <w:tr2bl w:val="nil"/>
            </w:tcBorders>
            <w:vAlign w:val="center"/>
          </w:tcPr>
          <w:p>
            <w:pPr>
              <w:widowControl/>
              <w:adjustRightInd w:val="0"/>
              <w:snapToGrid w:val="0"/>
              <w:jc w:val="center"/>
              <w:rPr>
                <w:rFonts w:ascii="宋体" w:hAnsi="宋体"/>
                <w:b/>
                <w:color w:val="auto"/>
                <w:sz w:val="20"/>
                <w:szCs w:val="20"/>
                <w:highlight w:val="none"/>
              </w:rPr>
            </w:pPr>
          </w:p>
        </w:tc>
        <w:tc>
          <w:tcPr>
            <w:tcW w:w="425" w:type="dxa"/>
            <w:vMerge w:val="continue"/>
            <w:tcBorders>
              <w:tl2br w:val="nil"/>
              <w:tr2bl w:val="nil"/>
            </w:tcBorders>
            <w:vAlign w:val="center"/>
          </w:tcPr>
          <w:p>
            <w:pPr>
              <w:widowControl/>
              <w:adjustRightInd w:val="0"/>
              <w:snapToGrid w:val="0"/>
              <w:jc w:val="center"/>
              <w:rPr>
                <w:rFonts w:ascii="宋体" w:hAnsi="宋体"/>
                <w:color w:val="auto"/>
                <w:sz w:val="20"/>
                <w:szCs w:val="20"/>
                <w:highlight w:val="none"/>
              </w:rPr>
            </w:pPr>
          </w:p>
        </w:tc>
        <w:tc>
          <w:tcPr>
            <w:tcW w:w="425" w:type="dxa"/>
            <w:vMerge w:val="continue"/>
            <w:tcBorders>
              <w:tl2br w:val="nil"/>
              <w:tr2bl w:val="nil"/>
            </w:tcBorders>
            <w:vAlign w:val="center"/>
          </w:tcPr>
          <w:p>
            <w:pPr>
              <w:widowControl/>
              <w:adjustRightInd w:val="0"/>
              <w:snapToGrid w:val="0"/>
              <w:jc w:val="center"/>
              <w:rPr>
                <w:rFonts w:ascii="宋体" w:hAnsi="宋体"/>
                <w:color w:val="auto"/>
                <w:sz w:val="20"/>
                <w:szCs w:val="20"/>
                <w:highlight w:val="none"/>
              </w:rPr>
            </w:pPr>
          </w:p>
        </w:tc>
        <w:tc>
          <w:tcPr>
            <w:tcW w:w="993" w:type="dxa"/>
            <w:vMerge w:val="continue"/>
            <w:tcBorders>
              <w:tl2br w:val="nil"/>
              <w:tr2bl w:val="nil"/>
            </w:tcBorders>
          </w:tcPr>
          <w:p>
            <w:pPr>
              <w:widowControl/>
              <w:adjustRightInd w:val="0"/>
              <w:snapToGrid w:val="0"/>
              <w:jc w:val="center"/>
              <w:rPr>
                <w:rFonts w:ascii="宋体" w:hAnsi="宋体"/>
                <w:color w:val="auto"/>
                <w:sz w:val="20"/>
                <w:szCs w:val="20"/>
                <w:highlight w:val="none"/>
              </w:rPr>
            </w:pPr>
          </w:p>
        </w:tc>
        <w:tc>
          <w:tcPr>
            <w:tcW w:w="2835" w:type="dxa"/>
            <w:tcBorders>
              <w:tl2br w:val="nil"/>
              <w:tr2bl w:val="nil"/>
            </w:tcBorders>
            <w:vAlign w:val="center"/>
          </w:tcPr>
          <w:p>
            <w:pPr>
              <w:widowControl/>
              <w:adjustRightInd w:val="0"/>
              <w:snapToGrid w:val="0"/>
              <w:rPr>
                <w:rFonts w:ascii="宋体" w:hAnsi="宋体" w:cs="Arial"/>
                <w:color w:val="auto"/>
                <w:kern w:val="0"/>
                <w:sz w:val="20"/>
                <w:szCs w:val="20"/>
                <w:highlight w:val="none"/>
              </w:rPr>
            </w:pPr>
            <w:r>
              <w:rPr>
                <w:rFonts w:hint="eastAsia" w:ascii="宋体" w:hAnsi="宋体" w:cs="Arial"/>
                <w:color w:val="auto"/>
                <w:kern w:val="0"/>
                <w:sz w:val="20"/>
                <w:szCs w:val="20"/>
                <w:highlight w:val="none"/>
              </w:rPr>
              <w:t>自然科学与科技创新</w:t>
            </w:r>
          </w:p>
        </w:tc>
        <w:tc>
          <w:tcPr>
            <w:tcW w:w="425"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611"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23" w:type="dxa"/>
            <w:tcBorders>
              <w:tl2br w:val="nil"/>
              <w:tr2bl w:val="nil"/>
            </w:tcBorders>
            <w:vAlign w:val="center"/>
          </w:tcPr>
          <w:p>
            <w:pPr>
              <w:widowControl/>
              <w:adjustRightInd w:val="0"/>
              <w:snapToGrid w:val="0"/>
              <w:jc w:val="center"/>
              <w:rPr>
                <w:rFonts w:ascii="宋体" w:hAnsi="宋体" w:cs="宋体"/>
                <w:b/>
                <w:bCs/>
                <w:color w:val="auto"/>
                <w:kern w:val="0"/>
                <w:sz w:val="20"/>
                <w:szCs w:val="20"/>
                <w:highlight w:val="none"/>
              </w:rPr>
            </w:pPr>
          </w:p>
        </w:tc>
        <w:tc>
          <w:tcPr>
            <w:tcW w:w="1036" w:type="dxa"/>
            <w:tcBorders>
              <w:tl2br w:val="nil"/>
              <w:tr2bl w:val="nil"/>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4962" w:type="dxa"/>
            <w:gridSpan w:val="5"/>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小计（通识课）</w:t>
            </w:r>
          </w:p>
        </w:tc>
        <w:tc>
          <w:tcPr>
            <w:tcW w:w="425"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p>
        </w:tc>
        <w:tc>
          <w:tcPr>
            <w:tcW w:w="567"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10</w:t>
            </w:r>
          </w:p>
        </w:tc>
        <w:tc>
          <w:tcPr>
            <w:tcW w:w="523"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160</w:t>
            </w:r>
          </w:p>
        </w:tc>
        <w:tc>
          <w:tcPr>
            <w:tcW w:w="611"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160</w:t>
            </w:r>
          </w:p>
        </w:tc>
        <w:tc>
          <w:tcPr>
            <w:tcW w:w="523" w:type="dxa"/>
            <w:tcBorders>
              <w:tl2br w:val="nil"/>
              <w:tr2bl w:val="nil"/>
            </w:tcBorders>
            <w:shd w:val="clear" w:color="auto" w:fill="D9D9D9"/>
            <w:vAlign w:val="center"/>
          </w:tcPr>
          <w:p>
            <w:pPr>
              <w:widowControl/>
              <w:adjustRightInd w:val="0"/>
              <w:snapToGrid w:val="0"/>
              <w:jc w:val="center"/>
              <w:rPr>
                <w:rFonts w:ascii="宋体" w:hAnsi="宋体" w:cs="宋体"/>
                <w:b/>
                <w:bCs/>
                <w:color w:val="auto"/>
                <w:kern w:val="0"/>
                <w:sz w:val="20"/>
                <w:szCs w:val="20"/>
                <w:highlight w:val="none"/>
              </w:rPr>
            </w:pPr>
          </w:p>
        </w:tc>
        <w:tc>
          <w:tcPr>
            <w:tcW w:w="1036" w:type="dxa"/>
            <w:tcBorders>
              <w:tl2br w:val="nil"/>
              <w:tr2bl w:val="nil"/>
            </w:tcBorders>
            <w:shd w:val="clear" w:color="auto" w:fill="D9D9D9"/>
            <w:vAlign w:val="center"/>
          </w:tcPr>
          <w:p>
            <w:pPr>
              <w:widowControl/>
              <w:adjustRightInd w:val="0"/>
              <w:snapToGrid w:val="0"/>
              <w:jc w:val="center"/>
              <w:rPr>
                <w:rFonts w:ascii="宋体" w:hAnsi="宋体" w:cs="宋体"/>
                <w:color w:val="auto"/>
                <w:kern w:val="0"/>
                <w:sz w:val="20"/>
                <w:szCs w:val="20"/>
                <w:highlight w:val="none"/>
              </w:rPr>
            </w:pPr>
          </w:p>
        </w:tc>
      </w:tr>
    </w:tbl>
    <w:p>
      <w:pPr>
        <w:adjustRightInd w:val="0"/>
        <w:snapToGrid w:val="0"/>
        <w:rPr>
          <w:rFonts w:ascii="黑体" w:hAnsi="宋体" w:eastAsia="黑体"/>
          <w:color w:val="auto"/>
          <w:szCs w:val="21"/>
          <w:highlight w:val="none"/>
        </w:rPr>
      </w:pPr>
      <w:r>
        <w:rPr>
          <w:rFonts w:hint="eastAsia" w:ascii="黑体" w:hAnsi="宋体" w:eastAsia="黑体"/>
          <w:color w:val="auto"/>
          <w:szCs w:val="21"/>
          <w:highlight w:val="none"/>
        </w:rPr>
        <w:t>★注：第一外语共计10学分，包括大学英语、大学德语、大学日语3个语种，按需选择适合的语种；其中选择大学英语的，在模块ABC中选择适合的模块。</w:t>
      </w:r>
    </w:p>
    <w:p>
      <w:pPr>
        <w:adjustRightInd w:val="0"/>
        <w:snapToGrid w:val="0"/>
        <w:spacing w:line="360" w:lineRule="auto"/>
        <w:rPr>
          <w:rFonts w:ascii="黑体" w:eastAsia="黑体"/>
          <w:b/>
          <w:color w:val="auto"/>
          <w:szCs w:val="21"/>
          <w:highlight w:val="none"/>
        </w:rPr>
      </w:pPr>
      <w:r>
        <w:rPr>
          <w:rFonts w:hint="eastAsia" w:eastAsia="黑体"/>
          <w:b/>
          <w:color w:val="auto"/>
          <w:highlight w:val="none"/>
        </w:rPr>
        <w:t>九、教学安排一览表（</w:t>
      </w:r>
      <w:r>
        <w:rPr>
          <w:rFonts w:eastAsia="黑体"/>
          <w:b/>
          <w:color w:val="auto"/>
          <w:highlight w:val="none"/>
        </w:rPr>
        <w:t>2</w:t>
      </w:r>
      <w:r>
        <w:rPr>
          <w:rFonts w:hint="eastAsia" w:eastAsia="黑体"/>
          <w:b/>
          <w:color w:val="auto"/>
          <w:highlight w:val="none"/>
        </w:rPr>
        <w:t>）</w:t>
      </w:r>
    </w:p>
    <w:tbl>
      <w:tblPr>
        <w:tblStyle w:val="5"/>
        <w:tblW w:w="8078" w:type="dxa"/>
        <w:jc w:val="center"/>
        <w:tblLayout w:type="fixed"/>
        <w:tblCellMar>
          <w:top w:w="0" w:type="dxa"/>
          <w:left w:w="0" w:type="dxa"/>
          <w:bottom w:w="0" w:type="dxa"/>
          <w:right w:w="0" w:type="dxa"/>
        </w:tblCellMar>
      </w:tblPr>
      <w:tblGrid>
        <w:gridCol w:w="303"/>
        <w:gridCol w:w="423"/>
        <w:gridCol w:w="425"/>
        <w:gridCol w:w="942"/>
        <w:gridCol w:w="2779"/>
        <w:gridCol w:w="391"/>
        <w:gridCol w:w="540"/>
        <w:gridCol w:w="526"/>
        <w:gridCol w:w="569"/>
        <w:gridCol w:w="434"/>
        <w:gridCol w:w="746"/>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性</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25"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开</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代</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779"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391"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考</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核</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方</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540"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理</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论</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434" w:type="dxa"/>
            <w:vMerge w:val="restart"/>
            <w:tcBorders>
              <w:top w:val="single" w:color="auto" w:sz="4" w:space="0"/>
              <w:left w:val="nil"/>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实</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践</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746"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建议</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修读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425"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277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391"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54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434" w:type="dxa"/>
            <w:vMerge w:val="continue"/>
            <w:tcBorders>
              <w:left w:val="nil"/>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c>
          <w:tcPr>
            <w:tcW w:w="746" w:type="dxa"/>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3" w:hRule="exact"/>
          <w:jc w:val="center"/>
        </w:trPr>
        <w:tc>
          <w:tcPr>
            <w:tcW w:w="30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工程基础课</w:t>
            </w: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b2012018</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程序设计基础</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宋体"/>
                <w:color w:val="auto"/>
                <w:sz w:val="20"/>
                <w:szCs w:val="20"/>
                <w:highlight w:val="none"/>
              </w:rPr>
              <w:t>4</w:t>
            </w:r>
            <w:r>
              <w:rPr>
                <w:rFonts w:ascii="宋体" w:hAnsi="宋体" w:cs="宋体"/>
                <w:color w:val="auto"/>
                <w:sz w:val="20"/>
                <w:szCs w:val="20"/>
                <w:highlight w:val="none"/>
              </w:rPr>
              <w:t>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ascii="宋体" w:hAnsi="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83" w:hRule="exact"/>
          <w:jc w:val="center"/>
        </w:trPr>
        <w:tc>
          <w:tcPr>
            <w:tcW w:w="30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工训</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DejaVu Sans"/>
                <w:color w:val="auto"/>
                <w:sz w:val="20"/>
                <w:szCs w:val="20"/>
                <w:highlight w:val="none"/>
              </w:rPr>
            </w:pPr>
            <w:r>
              <w:rPr>
                <w:rFonts w:hint="eastAsia" w:ascii="宋体" w:hAnsi="宋体" w:cs="DejaVu Sans"/>
                <w:color w:val="auto"/>
                <w:sz w:val="20"/>
                <w:szCs w:val="20"/>
                <w:highlight w:val="none"/>
              </w:rPr>
              <w:t>b2090011</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电路分析基础</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52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工训</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kern w:val="0"/>
                <w:sz w:val="20"/>
                <w:szCs w:val="20"/>
                <w:highlight w:val="none"/>
              </w:rPr>
              <w:t>b2012061</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Unicode MS"/>
                <w:color w:val="auto"/>
                <w:sz w:val="20"/>
                <w:szCs w:val="20"/>
                <w:highlight w:val="none"/>
              </w:rPr>
            </w:pPr>
            <w:r>
              <w:rPr>
                <w:rFonts w:hint="eastAsia" w:ascii="宋体" w:hAnsi="宋体" w:cs="宋体"/>
                <w:color w:val="auto"/>
                <w:sz w:val="20"/>
                <w:szCs w:val="20"/>
                <w:highlight w:val="none"/>
              </w:rPr>
              <w:t>模拟电子技术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工训</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b2011123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数字电子技术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春</w:t>
            </w:r>
            <w:r>
              <w:rPr>
                <w:rFonts w:hint="eastAsia" w:ascii="宋体" w:hAnsi="宋体"/>
                <w:color w:val="auto"/>
                <w:sz w:val="20"/>
                <w:szCs w:val="20"/>
                <w:highlight w:val="none"/>
              </w:rPr>
              <w:t>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 xml:space="preserve">b2012241 </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工程伦理</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6</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1</w:t>
            </w:r>
            <w:r>
              <w:rPr>
                <w:rFonts w:ascii="宋体" w:hAnsi="宋体" w:cs="Arial Unicode MS"/>
                <w:color w:val="auto"/>
                <w:sz w:val="20"/>
                <w:szCs w:val="20"/>
                <w:highlight w:val="none"/>
              </w:rPr>
              <w:t>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487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r>
              <w:rPr>
                <w:rFonts w:hint="eastAsia" w:ascii="宋体" w:hAnsi="宋体"/>
                <w:b/>
                <w:bCs/>
                <w:color w:val="auto"/>
                <w:sz w:val="20"/>
                <w:szCs w:val="20"/>
                <w:highlight w:val="none"/>
              </w:rPr>
              <w:t xml:space="preserve">小 </w:t>
            </w:r>
            <w:r>
              <w:rPr>
                <w:rFonts w:ascii="宋体" w:hAnsi="宋体"/>
                <w:b/>
                <w:bCs/>
                <w:color w:val="auto"/>
                <w:sz w:val="20"/>
                <w:szCs w:val="20"/>
                <w:highlight w:val="none"/>
              </w:rPr>
              <w:t xml:space="preserve"> </w:t>
            </w:r>
            <w:r>
              <w:rPr>
                <w:rFonts w:hint="eastAsia" w:ascii="宋体" w:hAnsi="宋体"/>
                <w:b/>
                <w:bCs/>
                <w:color w:val="auto"/>
                <w:sz w:val="20"/>
                <w:szCs w:val="20"/>
                <w:highlight w:val="none"/>
              </w:rPr>
              <w:t>计 （工程基础课）</w:t>
            </w:r>
          </w:p>
        </w:tc>
        <w:tc>
          <w:tcPr>
            <w:tcW w:w="3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r>
              <w:rPr>
                <w:rFonts w:ascii="宋体" w:hAnsi="宋体"/>
                <w:b/>
                <w:bCs/>
                <w:color w:val="auto"/>
                <w:sz w:val="20"/>
                <w:szCs w:val="20"/>
                <w:highlight w:val="none"/>
              </w:rPr>
              <w:t>17</w:t>
            </w:r>
          </w:p>
        </w:tc>
        <w:tc>
          <w:tcPr>
            <w:tcW w:w="52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r>
              <w:rPr>
                <w:rFonts w:ascii="宋体" w:hAnsi="宋体"/>
                <w:b/>
                <w:bCs/>
                <w:color w:val="auto"/>
                <w:sz w:val="20"/>
                <w:szCs w:val="20"/>
                <w:highlight w:val="none"/>
              </w:rPr>
              <w:t>272</w:t>
            </w:r>
          </w:p>
        </w:tc>
        <w:tc>
          <w:tcPr>
            <w:tcW w:w="569"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r>
              <w:rPr>
                <w:rFonts w:ascii="宋体" w:hAnsi="宋体"/>
                <w:b/>
                <w:bCs/>
                <w:color w:val="auto"/>
                <w:sz w:val="20"/>
                <w:szCs w:val="20"/>
                <w:highlight w:val="none"/>
              </w:rPr>
              <w:t>212</w:t>
            </w:r>
          </w:p>
        </w:tc>
        <w:tc>
          <w:tcPr>
            <w:tcW w:w="434"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r>
              <w:rPr>
                <w:rFonts w:ascii="宋体" w:hAnsi="宋体"/>
                <w:b/>
                <w:bCs/>
                <w:color w:val="auto"/>
                <w:sz w:val="20"/>
                <w:szCs w:val="20"/>
                <w:highlight w:val="none"/>
              </w:rPr>
              <w:t>60</w:t>
            </w:r>
          </w:p>
        </w:tc>
        <w:tc>
          <w:tcPr>
            <w:tcW w:w="746"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bCs/>
                <w:color w:val="auto"/>
                <w:sz w:val="20"/>
                <w:szCs w:val="20"/>
                <w:highlight w:val="none"/>
              </w:rPr>
            </w:pPr>
          </w:p>
        </w:tc>
      </w:tr>
      <w:tr>
        <w:tblPrEx>
          <w:tblCellMar>
            <w:top w:w="0" w:type="dxa"/>
            <w:left w:w="0" w:type="dxa"/>
            <w:bottom w:w="0" w:type="dxa"/>
            <w:right w:w="0" w:type="dxa"/>
          </w:tblCellMar>
        </w:tblPrEx>
        <w:trPr>
          <w:trHeight w:val="283" w:hRule="exact"/>
          <w:jc w:val="center"/>
        </w:trPr>
        <w:tc>
          <w:tcPr>
            <w:tcW w:w="30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专业基础课</w:t>
            </w: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b2012176</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通信工程专业导论</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b2012231</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数据结构与算法</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56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b2012129</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信号与系统</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数统</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b1020023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复变函数与积分变换</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b2012103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数字信号处理</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b2012393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Arial"/>
                <w:color w:val="auto"/>
                <w:sz w:val="20"/>
                <w:szCs w:val="20"/>
                <w:highlight w:val="none"/>
              </w:rPr>
            </w:pPr>
            <w:r>
              <w:rPr>
                <w:rFonts w:hint="eastAsia" w:ascii="宋体" w:hAnsi="宋体" w:cs="宋体"/>
                <w:color w:val="auto"/>
                <w:sz w:val="20"/>
                <w:szCs w:val="20"/>
                <w:highlight w:val="none"/>
              </w:rPr>
              <w:t>信息论与智能编码技术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color w:val="auto"/>
                <w:kern w:val="0"/>
                <w:sz w:val="20"/>
                <w:szCs w:val="20"/>
                <w:highlight w:val="none"/>
              </w:rPr>
            </w:pPr>
            <w:r>
              <w:rPr>
                <w:rFonts w:ascii="宋体" w:hAnsi="宋体"/>
                <w:color w:val="auto"/>
                <w:sz w:val="20"/>
                <w:szCs w:val="20"/>
                <w:highlight w:val="none"/>
              </w:rPr>
              <w:t>40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b2012286</w:t>
            </w:r>
          </w:p>
        </w:tc>
        <w:tc>
          <w:tcPr>
            <w:tcW w:w="2779"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电磁场与天线（全英文）</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kern w:val="0"/>
                <w:sz w:val="20"/>
                <w:szCs w:val="20"/>
                <w:highlight w:val="none"/>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ascii="宋体" w:hAnsi="宋体"/>
                <w:color w:val="auto"/>
                <w:sz w:val="20"/>
                <w:szCs w:val="20"/>
                <w:highlight w:val="none"/>
              </w:rPr>
              <w:t>24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ascii="宋体" w:hAnsi="宋体"/>
                <w:color w:val="auto"/>
                <w:sz w:val="20"/>
                <w:szCs w:val="20"/>
                <w:highlight w:val="none"/>
              </w:rPr>
              <w:t>24</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Unicode MS"/>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487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小    计（专业基础课）</w:t>
            </w:r>
          </w:p>
        </w:tc>
        <w:tc>
          <w:tcPr>
            <w:tcW w:w="3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widowControl/>
              <w:adjustRightInd w:val="0"/>
              <w:snapToGrid w:val="0"/>
              <w:jc w:val="center"/>
              <w:rPr>
                <w:rFonts w:ascii="宋体" w:hAnsi="宋体"/>
                <w:b/>
                <w:color w:val="auto"/>
                <w:kern w:val="0"/>
                <w:sz w:val="20"/>
                <w:szCs w:val="20"/>
                <w:highlight w:val="none"/>
              </w:rPr>
            </w:pPr>
            <w:r>
              <w:rPr>
                <w:rFonts w:ascii="宋体" w:hAnsi="宋体"/>
                <w:b/>
                <w:color w:val="auto"/>
                <w:sz w:val="20"/>
                <w:szCs w:val="20"/>
                <w:highlight w:val="none"/>
              </w:rPr>
              <w:t>19</w:t>
            </w:r>
          </w:p>
        </w:tc>
        <w:tc>
          <w:tcPr>
            <w:tcW w:w="526" w:type="dxa"/>
            <w:tcBorders>
              <w:top w:val="single" w:color="auto" w:sz="4" w:space="0"/>
              <w:left w:val="nil"/>
              <w:bottom w:val="single" w:color="auto" w:sz="4" w:space="0"/>
              <w:right w:val="single" w:color="auto" w:sz="4" w:space="0"/>
            </w:tcBorders>
            <w:shd w:val="clear" w:color="auto" w:fill="D9D9D9"/>
            <w:vAlign w:val="center"/>
          </w:tcPr>
          <w:p>
            <w:pPr>
              <w:widowControl/>
              <w:adjustRightInd w:val="0"/>
              <w:snapToGrid w:val="0"/>
              <w:jc w:val="center"/>
              <w:rPr>
                <w:rFonts w:ascii="宋体" w:hAnsi="宋体"/>
                <w:b/>
                <w:color w:val="auto"/>
                <w:kern w:val="0"/>
                <w:sz w:val="20"/>
                <w:szCs w:val="20"/>
                <w:highlight w:val="none"/>
              </w:rPr>
            </w:pPr>
            <w:r>
              <w:rPr>
                <w:rFonts w:ascii="宋体" w:hAnsi="宋体"/>
                <w:b/>
                <w:color w:val="auto"/>
                <w:sz w:val="20"/>
                <w:szCs w:val="20"/>
                <w:highlight w:val="none"/>
              </w:rPr>
              <w:t>304</w:t>
            </w:r>
          </w:p>
        </w:tc>
        <w:tc>
          <w:tcPr>
            <w:tcW w:w="569" w:type="dxa"/>
            <w:tcBorders>
              <w:top w:val="single" w:color="auto" w:sz="4" w:space="0"/>
              <w:left w:val="nil"/>
              <w:bottom w:val="single" w:color="auto" w:sz="4" w:space="0"/>
              <w:right w:val="single" w:color="auto" w:sz="4" w:space="0"/>
            </w:tcBorders>
            <w:shd w:val="clear" w:color="auto" w:fill="D9D9D9"/>
            <w:vAlign w:val="center"/>
          </w:tcPr>
          <w:p>
            <w:pPr>
              <w:widowControl/>
              <w:adjustRightInd w:val="0"/>
              <w:snapToGrid w:val="0"/>
              <w:jc w:val="center"/>
              <w:rPr>
                <w:rFonts w:ascii="宋体" w:hAnsi="宋体"/>
                <w:b/>
                <w:color w:val="auto"/>
                <w:kern w:val="0"/>
                <w:sz w:val="20"/>
                <w:szCs w:val="20"/>
                <w:highlight w:val="none"/>
              </w:rPr>
            </w:pPr>
            <w:r>
              <w:rPr>
                <w:rFonts w:ascii="宋体" w:hAnsi="宋体"/>
                <w:b/>
                <w:color w:val="auto"/>
                <w:sz w:val="20"/>
                <w:szCs w:val="20"/>
                <w:highlight w:val="none"/>
              </w:rPr>
              <w:t>234</w:t>
            </w:r>
          </w:p>
        </w:tc>
        <w:tc>
          <w:tcPr>
            <w:tcW w:w="434"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ascii="宋体" w:hAnsi="宋体"/>
                <w:b/>
                <w:color w:val="auto"/>
                <w:sz w:val="20"/>
                <w:szCs w:val="20"/>
                <w:highlight w:val="none"/>
              </w:rPr>
              <w:t>70</w:t>
            </w:r>
          </w:p>
        </w:tc>
        <w:tc>
          <w:tcPr>
            <w:tcW w:w="746"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3" w:hRule="exact"/>
          <w:jc w:val="center"/>
        </w:trPr>
        <w:tc>
          <w:tcPr>
            <w:tcW w:w="30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专</w:t>
            </w:r>
          </w:p>
          <w:p>
            <w:pPr>
              <w:adjustRightInd w:val="0"/>
              <w:snapToGrid w:val="0"/>
              <w:jc w:val="center"/>
              <w:rPr>
                <w:rFonts w:ascii="宋体" w:hAnsi="宋体"/>
                <w:b/>
                <w:color w:val="auto"/>
                <w:sz w:val="20"/>
                <w:szCs w:val="20"/>
                <w:highlight w:val="none"/>
              </w:rPr>
            </w:pPr>
          </w:p>
          <w:p>
            <w:pPr>
              <w:adjustRightInd w:val="0"/>
              <w:snapToGrid w:val="0"/>
              <w:jc w:val="center"/>
              <w:rPr>
                <w:rFonts w:ascii="宋体" w:hAnsi="宋体"/>
                <w:b/>
                <w:color w:val="auto"/>
                <w:sz w:val="20"/>
                <w:szCs w:val="20"/>
                <w:highlight w:val="none"/>
              </w:rPr>
            </w:pPr>
          </w:p>
          <w:p>
            <w:pPr>
              <w:adjustRightInd w:val="0"/>
              <w:snapToGrid w:val="0"/>
              <w:jc w:val="center"/>
              <w:rPr>
                <w:rFonts w:ascii="宋体" w:hAnsi="宋体"/>
                <w:b/>
                <w:color w:val="auto"/>
                <w:sz w:val="20"/>
                <w:szCs w:val="20"/>
                <w:highlight w:val="none"/>
              </w:rPr>
            </w:pP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业</w:t>
            </w:r>
          </w:p>
          <w:p>
            <w:pPr>
              <w:adjustRightInd w:val="0"/>
              <w:snapToGrid w:val="0"/>
              <w:jc w:val="center"/>
              <w:rPr>
                <w:rFonts w:ascii="宋体" w:hAnsi="宋体"/>
                <w:b/>
                <w:color w:val="auto"/>
                <w:sz w:val="20"/>
                <w:szCs w:val="20"/>
                <w:highlight w:val="none"/>
              </w:rPr>
            </w:pPr>
          </w:p>
          <w:p>
            <w:pPr>
              <w:adjustRightInd w:val="0"/>
              <w:snapToGrid w:val="0"/>
              <w:jc w:val="center"/>
              <w:rPr>
                <w:rFonts w:ascii="宋体" w:hAnsi="宋体"/>
                <w:b/>
                <w:color w:val="auto"/>
                <w:sz w:val="20"/>
                <w:szCs w:val="20"/>
                <w:highlight w:val="none"/>
              </w:rPr>
            </w:pPr>
          </w:p>
          <w:p>
            <w:pPr>
              <w:adjustRightInd w:val="0"/>
              <w:snapToGrid w:val="0"/>
              <w:jc w:val="center"/>
              <w:rPr>
                <w:rFonts w:ascii="宋体" w:hAnsi="宋体"/>
                <w:b/>
                <w:color w:val="auto"/>
                <w:sz w:val="20"/>
                <w:szCs w:val="20"/>
                <w:highlight w:val="none"/>
              </w:rPr>
            </w:pP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b2012003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DSP原理与应用</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highlight w:val="none"/>
              </w:rPr>
            </w:pPr>
            <w:r>
              <w:rPr>
                <w:rFonts w:hint="eastAsia" w:ascii="宋体" w:hAnsi="宋体" w:cs="宋体"/>
                <w:color w:val="auto"/>
                <w:sz w:val="20"/>
                <w:szCs w:val="20"/>
                <w:highlight w:val="none"/>
              </w:rPr>
              <w:t>3</w:t>
            </w:r>
            <w:r>
              <w:rPr>
                <w:rFonts w:ascii="宋体" w:hAnsi="宋体" w:cs="宋体"/>
                <w:color w:val="auto"/>
                <w:sz w:val="20"/>
                <w:szCs w:val="20"/>
                <w:highlight w:val="none"/>
              </w:rPr>
              <w:t>2</w:t>
            </w:r>
          </w:p>
        </w:tc>
        <w:tc>
          <w:tcPr>
            <w:tcW w:w="56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4</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夏2</w:t>
            </w:r>
          </w:p>
        </w:tc>
      </w:tr>
      <w:tr>
        <w:tblPrEx>
          <w:tblCellMar>
            <w:top w:w="0" w:type="dxa"/>
            <w:left w:w="0" w:type="dxa"/>
            <w:bottom w:w="0" w:type="dxa"/>
            <w:right w:w="0" w:type="dxa"/>
          </w:tblCellMar>
        </w:tblPrEx>
        <w:trPr>
          <w:trHeight w:val="283" w:hRule="exact"/>
          <w:jc w:val="center"/>
        </w:trPr>
        <w:tc>
          <w:tcPr>
            <w:tcW w:w="30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b2012315</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单片机原理与应用</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ascii="宋体" w:hAnsi="宋体"/>
                <w:color w:val="auto"/>
                <w:sz w:val="20"/>
                <w:szCs w:val="20"/>
                <w:highlight w:val="none"/>
              </w:rPr>
              <w:t>5</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ascii="宋体" w:hAnsi="宋体"/>
                <w:color w:val="auto"/>
                <w:sz w:val="20"/>
                <w:szCs w:val="20"/>
                <w:highlight w:val="none"/>
              </w:rPr>
              <w:t>80</w:t>
            </w:r>
          </w:p>
        </w:tc>
        <w:tc>
          <w:tcPr>
            <w:tcW w:w="56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ascii="宋体" w:hAnsi="宋体"/>
                <w:color w:val="auto"/>
                <w:sz w:val="20"/>
                <w:szCs w:val="20"/>
                <w:highlight w:val="none"/>
              </w:rPr>
              <w:t>50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83" w:hRule="exact"/>
          <w:jc w:val="center"/>
        </w:trPr>
        <w:tc>
          <w:tcPr>
            <w:tcW w:w="30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b2012006</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Java程序设计</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83" w:hRule="exact"/>
          <w:jc w:val="center"/>
        </w:trPr>
        <w:tc>
          <w:tcPr>
            <w:tcW w:w="30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b2012187</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移动通信基础</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w:t>
            </w:r>
            <w:r>
              <w:rPr>
                <w:rFonts w:ascii="宋体" w:hAnsi="宋体"/>
                <w:color w:val="auto"/>
                <w:sz w:val="20"/>
                <w:szCs w:val="20"/>
                <w:highlight w:val="none"/>
              </w:rPr>
              <w:t>2</w:t>
            </w:r>
          </w:p>
        </w:tc>
      </w:tr>
      <w:tr>
        <w:tblPrEx>
          <w:tblCellMar>
            <w:top w:w="0" w:type="dxa"/>
            <w:left w:w="0" w:type="dxa"/>
            <w:bottom w:w="0" w:type="dxa"/>
            <w:right w:w="0" w:type="dxa"/>
          </w:tblCellMar>
        </w:tblPrEx>
        <w:trPr>
          <w:trHeight w:val="283" w:hRule="exact"/>
          <w:jc w:val="center"/>
        </w:trPr>
        <w:tc>
          <w:tcPr>
            <w:tcW w:w="303" w:type="dxa"/>
            <w:vMerge w:val="continue"/>
            <w:tcBorders>
              <w:top w:val="single" w:color="auto" w:sz="4" w:space="0"/>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b2012304</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互联网导论</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w:t>
            </w:r>
            <w:r>
              <w:rPr>
                <w:rFonts w:ascii="宋体" w:hAnsi="宋体"/>
                <w:color w:val="auto"/>
                <w:sz w:val="20"/>
                <w:szCs w:val="20"/>
                <w:highlight w:val="none"/>
              </w:rPr>
              <w:t>2</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b2012287</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通信电子线路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8</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b2012109</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通信原理</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kern w:val="0"/>
                <w:sz w:val="20"/>
                <w:szCs w:val="20"/>
                <w:highlight w:val="none"/>
              </w:rPr>
              <w:t>3</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b2012296</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人工智能技术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569"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小    计（专业必修课）</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ascii="宋体" w:hAnsi="宋体"/>
                <w:b/>
                <w:color w:val="auto"/>
                <w:sz w:val="20"/>
                <w:szCs w:val="20"/>
                <w:highlight w:val="none"/>
              </w:rPr>
              <w:t>21</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ascii="宋体" w:hAnsi="宋体"/>
                <w:b/>
                <w:color w:val="auto"/>
                <w:sz w:val="20"/>
                <w:szCs w:val="20"/>
                <w:highlight w:val="none"/>
              </w:rPr>
              <w:t>336</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ascii="宋体" w:hAnsi="宋体"/>
                <w:b/>
                <w:color w:val="auto"/>
                <w:sz w:val="20"/>
                <w:szCs w:val="20"/>
                <w:highlight w:val="none"/>
              </w:rPr>
              <w:t>260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7</w:t>
            </w:r>
            <w:r>
              <w:rPr>
                <w:rFonts w:ascii="宋体" w:hAnsi="宋体"/>
                <w:b/>
                <w:color w:val="auto"/>
                <w:sz w:val="20"/>
                <w:szCs w:val="20"/>
                <w:highlight w:val="none"/>
              </w:rPr>
              <w:t>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按</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修</w:t>
            </w:r>
          </w:p>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8</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学</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分</w:t>
            </w:r>
          </w:p>
        </w:tc>
        <w:tc>
          <w:tcPr>
            <w:tcW w:w="425"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A</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DejaVu Sans"/>
                <w:color w:val="auto"/>
                <w:sz w:val="20"/>
                <w:szCs w:val="20"/>
                <w:highlight w:val="none"/>
              </w:rPr>
              <w:t>b2012322</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LTE系统与关键技术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DejaVu Sans"/>
                <w:color w:val="auto"/>
                <w:sz w:val="20"/>
                <w:szCs w:val="20"/>
                <w:highlight w:val="none"/>
              </w:rPr>
              <w:t>b2012323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下一代移动通信技术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DejaVu Sans"/>
                <w:color w:val="auto"/>
                <w:sz w:val="20"/>
                <w:szCs w:val="20"/>
                <w:highlight w:val="none"/>
              </w:rPr>
              <w:t>b2012324</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移动通信设备与调测</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b201218</w:t>
            </w:r>
            <w:r>
              <w:rPr>
                <w:rFonts w:hint="eastAsia" w:ascii="宋体" w:hAnsi="宋体"/>
                <w:color w:val="auto"/>
                <w:sz w:val="20"/>
                <w:szCs w:val="20"/>
                <w:highlight w:val="none"/>
              </w:rPr>
              <w:t>9</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网络优化与规划</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24</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8</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b2012172</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路由与交换</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w:t>
            </w:r>
            <w:r>
              <w:rPr>
                <w:rFonts w:ascii="宋体" w:hAnsi="宋体"/>
                <w:color w:val="auto"/>
                <w:sz w:val="20"/>
                <w:szCs w:val="20"/>
                <w:highlight w:val="none"/>
              </w:rPr>
              <w:t>4</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b2012173</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扩展网络设计</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b2012038</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广域网接入技术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DejaVu Sans"/>
                <w:color w:val="auto"/>
                <w:sz w:val="20"/>
                <w:szCs w:val="20"/>
                <w:highlight w:val="none"/>
              </w:rPr>
              <w:t>b2012302</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数据通信系统工程</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bookmarkStart w:id="1" w:name="_Hlk103883990"/>
            <w:r>
              <w:rPr>
                <w:rFonts w:hint="eastAsia" w:ascii="宋体" w:hAnsi="宋体"/>
                <w:color w:val="auto"/>
                <w:sz w:val="20"/>
                <w:szCs w:val="20"/>
                <w:highlight w:val="none"/>
              </w:rPr>
              <w:t>试</w:t>
            </w:r>
            <w:bookmarkEnd w:id="1"/>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8</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24</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按</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修</w:t>
            </w:r>
          </w:p>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8</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学</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分</w:t>
            </w:r>
          </w:p>
        </w:tc>
        <w:tc>
          <w:tcPr>
            <w:tcW w:w="425"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C</w:t>
            </w: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b2012325</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通信嵌入式系统与应用</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16</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b2012089</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数据库原理及应用</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20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b2012328</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固网应用开发</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s="宋体"/>
                <w:color w:val="auto"/>
                <w:sz w:val="20"/>
                <w:szCs w:val="20"/>
                <w:highlight w:val="none"/>
              </w:rPr>
              <w:t>b2012326</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移动应用开发</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restart"/>
            <w:tcBorders>
              <w:top w:val="single" w:color="auto" w:sz="4" w:space="0"/>
              <w:left w:val="nil"/>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D</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b201239</w:t>
            </w:r>
            <w:r>
              <w:rPr>
                <w:rFonts w:hint="eastAsia" w:ascii="宋体" w:hAnsi="宋体" w:cs="宋体"/>
                <w:i w:val="0"/>
                <w:iCs w:val="0"/>
                <w:color w:val="auto"/>
                <w:kern w:val="0"/>
                <w:sz w:val="20"/>
                <w:szCs w:val="20"/>
                <w:highlight w:val="none"/>
                <w:u w:val="none"/>
                <w:lang w:val="en-US" w:eastAsia="zh-CN" w:bidi="ar"/>
              </w:rPr>
              <w:t>4</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现代交换与接入技术</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b2012034</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光通信基础</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20</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12</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b201239</w:t>
            </w:r>
            <w:r>
              <w:rPr>
                <w:rFonts w:hint="eastAsia" w:ascii="宋体" w:hAnsi="宋体" w:cs="宋体"/>
                <w:i w:val="0"/>
                <w:iCs w:val="0"/>
                <w:color w:val="auto"/>
                <w:kern w:val="0"/>
                <w:sz w:val="20"/>
                <w:szCs w:val="20"/>
                <w:highlight w:val="none"/>
                <w:u w:val="none"/>
                <w:lang w:val="en-US" w:eastAsia="zh-CN" w:bidi="ar"/>
              </w:rPr>
              <w:t>5</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hint="eastAsia" w:ascii="宋体" w:hAnsi="宋体"/>
                <w:color w:val="auto"/>
                <w:sz w:val="20"/>
                <w:szCs w:val="20"/>
                <w:highlight w:val="none"/>
              </w:rPr>
            </w:pPr>
            <w:r>
              <w:rPr>
                <w:rFonts w:hint="eastAsia" w:ascii="宋体" w:hAnsi="宋体" w:cs="宋体"/>
                <w:color w:val="auto"/>
                <w:sz w:val="20"/>
                <w:szCs w:val="20"/>
                <w:highlight w:val="none"/>
              </w:rPr>
              <w:t>AI与移动通信全景融合</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w:t>
            </w:r>
            <w:r>
              <w:rPr>
                <w:rFonts w:hint="eastAsia"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b2012327</w:t>
            </w:r>
          </w:p>
        </w:tc>
        <w:tc>
          <w:tcPr>
            <w:tcW w:w="2779"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智能图像处理</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1</w:t>
            </w:r>
            <w:r>
              <w:rPr>
                <w:rFonts w:hint="eastAsia" w:ascii="宋体" w:hAnsi="宋体"/>
                <w:color w:val="auto"/>
                <w:sz w:val="20"/>
                <w:szCs w:val="20"/>
                <w:highlight w:val="none"/>
              </w:rPr>
              <w:t>0</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 w:val="20"/>
                <w:szCs w:val="20"/>
                <w:highlight w:val="none"/>
              </w:rPr>
            </w:pPr>
          </w:p>
        </w:tc>
        <w:tc>
          <w:tcPr>
            <w:tcW w:w="4569"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b/>
                <w:color w:val="auto"/>
                <w:sz w:val="20"/>
                <w:szCs w:val="20"/>
                <w:highlight w:val="none"/>
              </w:rPr>
              <w:t>小 计（专业选修课）</w:t>
            </w:r>
          </w:p>
        </w:tc>
        <w:tc>
          <w:tcPr>
            <w:tcW w:w="39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c>
          <w:tcPr>
            <w:tcW w:w="5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b/>
                <w:bCs/>
                <w:color w:val="auto"/>
                <w:sz w:val="20"/>
                <w:szCs w:val="20"/>
                <w:highlight w:val="none"/>
              </w:rPr>
              <w:t>16</w:t>
            </w:r>
          </w:p>
        </w:tc>
        <w:tc>
          <w:tcPr>
            <w:tcW w:w="5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b/>
                <w:bCs/>
                <w:color w:val="auto"/>
                <w:sz w:val="20"/>
                <w:szCs w:val="20"/>
                <w:highlight w:val="none"/>
              </w:rPr>
              <w:t>256</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hint="eastAsia" w:ascii="宋体" w:hAnsi="宋体"/>
                <w:b/>
                <w:bCs/>
                <w:color w:val="auto"/>
                <w:sz w:val="20"/>
                <w:szCs w:val="20"/>
                <w:highlight w:val="none"/>
              </w:rPr>
              <w:t>16</w:t>
            </w:r>
            <w:r>
              <w:rPr>
                <w:rFonts w:ascii="宋体" w:hAnsi="宋体"/>
                <w:b/>
                <w:bCs/>
                <w:color w:val="auto"/>
                <w:sz w:val="20"/>
                <w:szCs w:val="20"/>
                <w:highlight w:val="none"/>
              </w:rPr>
              <w:t>2</w:t>
            </w:r>
          </w:p>
        </w:tc>
        <w:tc>
          <w:tcPr>
            <w:tcW w:w="4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r>
              <w:rPr>
                <w:rFonts w:ascii="宋体" w:hAnsi="宋体"/>
                <w:b/>
                <w:bCs/>
                <w:color w:val="auto"/>
                <w:sz w:val="20"/>
                <w:szCs w:val="20"/>
                <w:highlight w:val="none"/>
              </w:rPr>
              <w:t>94</w:t>
            </w:r>
          </w:p>
        </w:tc>
        <w:tc>
          <w:tcPr>
            <w:tcW w:w="7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487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小计（专业课）</w:t>
            </w:r>
          </w:p>
        </w:tc>
        <w:tc>
          <w:tcPr>
            <w:tcW w:w="391"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3</w:t>
            </w:r>
            <w:r>
              <w:rPr>
                <w:rFonts w:ascii="宋体" w:hAnsi="宋体"/>
                <w:b/>
                <w:color w:val="auto"/>
                <w:sz w:val="20"/>
                <w:szCs w:val="20"/>
                <w:highlight w:val="none"/>
              </w:rPr>
              <w:t>7</w:t>
            </w:r>
          </w:p>
        </w:tc>
        <w:tc>
          <w:tcPr>
            <w:tcW w:w="526"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ascii="宋体" w:hAnsi="宋体"/>
                <w:b/>
                <w:color w:val="auto"/>
                <w:sz w:val="20"/>
                <w:szCs w:val="20"/>
                <w:highlight w:val="none"/>
              </w:rPr>
              <w:t>592</w:t>
            </w:r>
          </w:p>
        </w:tc>
        <w:tc>
          <w:tcPr>
            <w:tcW w:w="569"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4</w:t>
            </w:r>
            <w:r>
              <w:rPr>
                <w:rFonts w:ascii="宋体" w:hAnsi="宋体"/>
                <w:b/>
                <w:color w:val="auto"/>
                <w:sz w:val="20"/>
                <w:szCs w:val="20"/>
                <w:highlight w:val="none"/>
              </w:rPr>
              <w:t>22</w:t>
            </w:r>
          </w:p>
        </w:tc>
        <w:tc>
          <w:tcPr>
            <w:tcW w:w="434" w:type="dxa"/>
            <w:tcBorders>
              <w:top w:val="single" w:color="auto" w:sz="4" w:space="0"/>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1</w:t>
            </w:r>
            <w:r>
              <w:rPr>
                <w:rFonts w:ascii="宋体" w:hAnsi="宋体"/>
                <w:b/>
                <w:color w:val="auto"/>
                <w:sz w:val="20"/>
                <w:szCs w:val="20"/>
                <w:highlight w:val="none"/>
              </w:rPr>
              <w:t>70</w:t>
            </w:r>
          </w:p>
        </w:tc>
        <w:tc>
          <w:tcPr>
            <w:tcW w:w="746"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p>
        </w:tc>
      </w:tr>
    </w:tbl>
    <w:p>
      <w:pPr>
        <w:adjustRightInd w:val="0"/>
        <w:snapToGrid w:val="0"/>
        <w:rPr>
          <w:rFonts w:ascii="黑体" w:eastAsia="黑体"/>
          <w:b/>
          <w:color w:val="auto"/>
          <w:szCs w:val="21"/>
          <w:highlight w:val="none"/>
        </w:rPr>
      </w:pPr>
    </w:p>
    <w:p>
      <w:pPr>
        <w:adjustRightInd w:val="0"/>
        <w:snapToGrid w:val="0"/>
        <w:spacing w:line="360" w:lineRule="auto"/>
        <w:rPr>
          <w:rFonts w:ascii="黑体" w:eastAsia="黑体"/>
          <w:b/>
          <w:color w:val="auto"/>
          <w:szCs w:val="21"/>
          <w:highlight w:val="none"/>
        </w:rPr>
      </w:pPr>
      <w:r>
        <w:rPr>
          <w:rFonts w:hint="eastAsia" w:ascii="黑体" w:eastAsia="黑体"/>
          <w:b/>
          <w:color w:val="auto"/>
          <w:szCs w:val="21"/>
          <w:highlight w:val="none"/>
        </w:rPr>
        <w:t>九、教学安排一览表（3）</w:t>
      </w:r>
    </w:p>
    <w:tbl>
      <w:tblPr>
        <w:tblStyle w:val="5"/>
        <w:tblW w:w="0" w:type="auto"/>
        <w:jc w:val="center"/>
        <w:shd w:val="clear" w:color="auto" w:fill="FFFFFF"/>
        <w:tblLayout w:type="fixed"/>
        <w:tblCellMar>
          <w:top w:w="0" w:type="dxa"/>
          <w:left w:w="0" w:type="dxa"/>
          <w:bottom w:w="0" w:type="dxa"/>
          <w:right w:w="0" w:type="dxa"/>
        </w:tblCellMar>
      </w:tblPr>
      <w:tblGrid>
        <w:gridCol w:w="305"/>
        <w:gridCol w:w="425"/>
        <w:gridCol w:w="426"/>
        <w:gridCol w:w="970"/>
        <w:gridCol w:w="2999"/>
        <w:gridCol w:w="283"/>
        <w:gridCol w:w="425"/>
        <w:gridCol w:w="567"/>
        <w:gridCol w:w="511"/>
        <w:gridCol w:w="434"/>
        <w:gridCol w:w="734"/>
      </w:tblGrid>
      <w:tr>
        <w:trPr>
          <w:trHeight w:val="240" w:hRule="atLeast"/>
          <w:jc w:val="center"/>
        </w:trPr>
        <w:tc>
          <w:tcPr>
            <w:tcW w:w="305" w:type="dxa"/>
            <w:tcBorders>
              <w:top w:val="single" w:color="auto" w:sz="4" w:space="0"/>
              <w:left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6"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开</w:t>
            </w:r>
          </w:p>
        </w:tc>
        <w:tc>
          <w:tcPr>
            <w:tcW w:w="970" w:type="dxa"/>
            <w:tcBorders>
              <w:top w:val="single" w:color="auto" w:sz="4" w:space="0"/>
              <w:left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2999"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283"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考</w:t>
            </w:r>
          </w:p>
        </w:tc>
        <w:tc>
          <w:tcPr>
            <w:tcW w:w="425"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总</w:t>
            </w:r>
          </w:p>
        </w:tc>
        <w:tc>
          <w:tcPr>
            <w:tcW w:w="567"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总</w:t>
            </w:r>
          </w:p>
        </w:tc>
        <w:tc>
          <w:tcPr>
            <w:tcW w:w="511"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理</w:t>
            </w:r>
          </w:p>
        </w:tc>
        <w:tc>
          <w:tcPr>
            <w:tcW w:w="434"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实</w:t>
            </w:r>
          </w:p>
        </w:tc>
        <w:tc>
          <w:tcPr>
            <w:tcW w:w="734" w:type="dxa"/>
            <w:tcBorders>
              <w:top w:val="single" w:color="auto" w:sz="4" w:space="0"/>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建议</w:t>
            </w:r>
          </w:p>
        </w:tc>
      </w:tr>
      <w:tr>
        <w:tblPrEx>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426"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970"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2999"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283"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核</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567"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511"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论</w:t>
            </w:r>
          </w:p>
        </w:tc>
        <w:tc>
          <w:tcPr>
            <w:tcW w:w="434"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践</w:t>
            </w:r>
          </w:p>
        </w:tc>
        <w:tc>
          <w:tcPr>
            <w:tcW w:w="734"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修读</w:t>
            </w:r>
          </w:p>
        </w:tc>
      </w:tr>
      <w:tr>
        <w:tblPrEx>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类</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性</w:t>
            </w:r>
          </w:p>
        </w:tc>
        <w:tc>
          <w:tcPr>
            <w:tcW w:w="426"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970" w:type="dxa"/>
            <w:tcBorders>
              <w:left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代</w:t>
            </w:r>
          </w:p>
        </w:tc>
        <w:tc>
          <w:tcPr>
            <w:tcW w:w="2999" w:type="dxa"/>
            <w:tcBorders>
              <w:left w:val="nil"/>
              <w:right w:val="single" w:color="auto" w:sz="4" w:space="0"/>
            </w:tcBorders>
            <w:shd w:val="clear" w:color="auto" w:fill="FFFFFF"/>
            <w:vAlign w:val="center"/>
          </w:tcPr>
          <w:p>
            <w:pPr>
              <w:adjustRightInd w:val="0"/>
              <w:snapToGrid w:val="0"/>
              <w:rPr>
                <w:rFonts w:ascii="宋体" w:hAnsi="宋体"/>
                <w:b/>
                <w:color w:val="auto"/>
                <w:sz w:val="20"/>
                <w:szCs w:val="20"/>
                <w:highlight w:val="none"/>
              </w:rPr>
            </w:pPr>
          </w:p>
        </w:tc>
        <w:tc>
          <w:tcPr>
            <w:tcW w:w="283"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方</w:t>
            </w:r>
          </w:p>
        </w:tc>
        <w:tc>
          <w:tcPr>
            <w:tcW w:w="425"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67"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11"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434"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734" w:type="dxa"/>
            <w:tcBorders>
              <w:left w:val="nil"/>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305" w:type="dxa"/>
            <w:tcBorders>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25"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26"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970" w:type="dxa"/>
            <w:tcBorders>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999" w:type="dxa"/>
            <w:tcBorders>
              <w:left w:val="nil"/>
              <w:bottom w:val="single" w:color="auto" w:sz="4" w:space="0"/>
              <w:right w:val="single" w:color="auto" w:sz="4" w:space="0"/>
            </w:tcBorders>
            <w:shd w:val="clear" w:color="auto" w:fill="FFFFFF"/>
            <w:vAlign w:val="center"/>
          </w:tcPr>
          <w:p>
            <w:pPr>
              <w:adjustRightInd w:val="0"/>
              <w:snapToGrid w:val="0"/>
              <w:rPr>
                <w:rFonts w:ascii="宋体" w:hAnsi="宋体"/>
                <w:b/>
                <w:color w:val="auto"/>
                <w:sz w:val="20"/>
                <w:szCs w:val="20"/>
                <w:highlight w:val="none"/>
              </w:rPr>
            </w:pPr>
          </w:p>
        </w:tc>
        <w:tc>
          <w:tcPr>
            <w:tcW w:w="283"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425"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567"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511"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434"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734" w:type="dxa"/>
            <w:tcBorders>
              <w:left w:val="nil"/>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340" w:hRule="exact"/>
          <w:jc w:val="center"/>
        </w:trPr>
        <w:tc>
          <w:tcPr>
            <w:tcW w:w="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专</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业</w:t>
            </w:r>
          </w:p>
          <w:p>
            <w:pPr>
              <w:adjustRightInd w:val="0"/>
              <w:snapToGrid w:val="0"/>
              <w:jc w:val="center"/>
              <w:rPr>
                <w:rFonts w:ascii="宋体" w:hAnsi="宋体"/>
                <w:color w:val="auto"/>
                <w:sz w:val="20"/>
                <w:szCs w:val="20"/>
                <w:highlight w:val="none"/>
              </w:rPr>
            </w:pPr>
            <w:r>
              <w:rPr>
                <w:rFonts w:hint="eastAsia" w:ascii="宋体" w:hAnsi="宋体"/>
                <w:b/>
                <w:color w:val="auto"/>
                <w:sz w:val="20"/>
                <w:szCs w:val="20"/>
                <w:highlight w:val="none"/>
              </w:rPr>
              <w:t>实践</w:t>
            </w:r>
          </w:p>
        </w:tc>
        <w:tc>
          <w:tcPr>
            <w:tcW w:w="425"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工训</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b4090002</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基础工程训练B</w:t>
            </w:r>
          </w:p>
        </w:tc>
        <w:tc>
          <w:tcPr>
            <w:tcW w:w="283"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查</w:t>
            </w:r>
          </w:p>
        </w:tc>
        <w:tc>
          <w:tcPr>
            <w:tcW w:w="425"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67"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11" w:type="dxa"/>
            <w:tcBorders>
              <w:top w:val="single" w:color="auto" w:sz="4" w:space="0"/>
              <w:left w:val="nil"/>
              <w:bottom w:val="single" w:color="auto" w:sz="4" w:space="0"/>
              <w:right w:val="single" w:color="auto" w:sz="4" w:space="0"/>
            </w:tcBorders>
            <w:shd w:val="clear" w:color="auto" w:fill="FFFFFF"/>
          </w:tcPr>
          <w:p>
            <w:pPr>
              <w:adjustRightInd w:val="0"/>
              <w:snapToGrid w:val="0"/>
              <w:jc w:val="center"/>
              <w:rPr>
                <w:rFonts w:ascii="宋体" w:hAnsi="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734"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夏1</w:t>
            </w:r>
          </w:p>
        </w:tc>
      </w:tr>
      <w:tr>
        <w:tblPrEx>
          <w:tblCellMar>
            <w:top w:w="0" w:type="dxa"/>
            <w:left w:w="0" w:type="dxa"/>
            <w:bottom w:w="0" w:type="dxa"/>
            <w:right w:w="0" w:type="dxa"/>
          </w:tblCellMar>
        </w:tblPrEx>
        <w:trPr>
          <w:trHeight w:val="273"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DejaVu Sans"/>
                <w:color w:val="auto"/>
                <w:sz w:val="20"/>
                <w:szCs w:val="20"/>
                <w:highlight w:val="none"/>
              </w:rPr>
            </w:pPr>
            <w:r>
              <w:rPr>
                <w:rFonts w:hint="eastAsia" w:ascii="宋体" w:hAnsi="宋体"/>
                <w:color w:val="auto"/>
                <w:sz w:val="20"/>
                <w:szCs w:val="20"/>
                <w:highlight w:val="none"/>
              </w:rPr>
              <w:t>b4012005</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20"/>
                <w:szCs w:val="20"/>
                <w:highlight w:val="none"/>
              </w:rPr>
            </w:pPr>
            <w:r>
              <w:rPr>
                <w:rFonts w:ascii="宋体" w:hAnsi="宋体"/>
                <w:color w:val="auto"/>
                <w:sz w:val="20"/>
                <w:szCs w:val="20"/>
                <w:highlight w:val="none"/>
              </w:rPr>
              <w:t>程序设计与实践</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夏1</w:t>
            </w:r>
          </w:p>
        </w:tc>
      </w:tr>
      <w:tr>
        <w:tblPrEx>
          <w:tblCellMar>
            <w:top w:w="0" w:type="dxa"/>
            <w:left w:w="0" w:type="dxa"/>
            <w:bottom w:w="0" w:type="dxa"/>
            <w:right w:w="0" w:type="dxa"/>
          </w:tblCellMar>
        </w:tblPrEx>
        <w:trPr>
          <w:trHeight w:val="340"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s="DejaVu Sans"/>
                <w:color w:val="auto"/>
                <w:sz w:val="20"/>
                <w:szCs w:val="20"/>
                <w:highlight w:val="none"/>
              </w:rPr>
              <w:t>b4012198</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20"/>
                <w:szCs w:val="20"/>
                <w:highlight w:val="none"/>
              </w:rPr>
            </w:pPr>
            <w:r>
              <w:rPr>
                <w:rFonts w:hint="eastAsia" w:ascii="宋体" w:hAnsi="宋体" w:cs="宋体"/>
                <w:color w:val="auto"/>
                <w:sz w:val="20"/>
                <w:szCs w:val="20"/>
                <w:highlight w:val="none"/>
              </w:rPr>
              <w:t xml:space="preserve">信号与信息处理课程设计 </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夏</w:t>
            </w:r>
            <w:r>
              <w:rPr>
                <w:rFonts w:ascii="宋体" w:hAnsi="宋体"/>
                <w:color w:val="auto"/>
                <w:sz w:val="20"/>
                <w:szCs w:val="20"/>
                <w:highlight w:val="none"/>
              </w:rPr>
              <w:t>2</w:t>
            </w:r>
          </w:p>
        </w:tc>
      </w:tr>
      <w:tr>
        <w:tblPrEx>
          <w:tblCellMar>
            <w:top w:w="0" w:type="dxa"/>
            <w:left w:w="0" w:type="dxa"/>
            <w:bottom w:w="0" w:type="dxa"/>
            <w:right w:w="0" w:type="dxa"/>
          </w:tblCellMar>
        </w:tblPrEx>
        <w:trPr>
          <w:trHeight w:val="280"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DejaVu Sans"/>
                <w:color w:val="auto"/>
                <w:sz w:val="20"/>
                <w:szCs w:val="20"/>
                <w:highlight w:val="none"/>
              </w:rPr>
            </w:pPr>
            <w:r>
              <w:rPr>
                <w:rFonts w:hint="eastAsia" w:ascii="宋体" w:hAnsi="宋体"/>
                <w:color w:val="auto"/>
                <w:sz w:val="20"/>
                <w:szCs w:val="20"/>
                <w:highlight w:val="none"/>
              </w:rPr>
              <w:t>b4012186</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highlight w:val="none"/>
              </w:rPr>
            </w:pPr>
            <w:r>
              <w:rPr>
                <w:rFonts w:hint="eastAsia" w:ascii="宋体" w:hAnsi="宋体"/>
                <w:color w:val="auto"/>
                <w:sz w:val="20"/>
                <w:szCs w:val="20"/>
                <w:highlight w:val="none"/>
              </w:rPr>
              <w:t>劳动教育B</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16</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340"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 xml:space="preserve"> </w:t>
            </w:r>
            <w:r>
              <w:rPr>
                <w:rFonts w:ascii="宋体" w:hAnsi="宋体"/>
                <w:color w:val="auto"/>
                <w:sz w:val="20"/>
                <w:szCs w:val="20"/>
                <w:highlight w:val="none"/>
              </w:rPr>
              <w:t>b4000016</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通信工程专业创新创业</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340"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s="DejaVu Sans"/>
                <w:color w:val="auto"/>
                <w:sz w:val="20"/>
                <w:szCs w:val="20"/>
                <w:highlight w:val="none"/>
              </w:rPr>
              <w:t>b4012197</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通信系统综合设计</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72</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72</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夏3</w:t>
            </w:r>
          </w:p>
        </w:tc>
      </w:tr>
      <w:tr>
        <w:tblPrEx>
          <w:tblCellMar>
            <w:top w:w="0" w:type="dxa"/>
            <w:left w:w="0" w:type="dxa"/>
            <w:bottom w:w="0" w:type="dxa"/>
            <w:right w:w="0" w:type="dxa"/>
          </w:tblCellMar>
        </w:tblPrEx>
        <w:trPr>
          <w:trHeight w:val="340"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DejaVu Sans"/>
                <w:color w:val="auto"/>
                <w:sz w:val="20"/>
                <w:szCs w:val="20"/>
                <w:highlight w:val="none"/>
              </w:rPr>
            </w:pPr>
            <w:r>
              <w:rPr>
                <w:rFonts w:hint="eastAsia" w:ascii="宋体" w:hAnsi="宋体" w:cs="DejaVu Sans"/>
                <w:color w:val="auto"/>
                <w:sz w:val="20"/>
                <w:szCs w:val="20"/>
                <w:highlight w:val="none"/>
              </w:rPr>
              <w:t>b4012199</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18"/>
                <w:szCs w:val="18"/>
                <w:highlight w:val="none"/>
              </w:rPr>
            </w:pPr>
            <w:r>
              <w:rPr>
                <w:rFonts w:hint="eastAsia" w:ascii="宋体" w:hAnsi="宋体" w:cs="宋体"/>
                <w:color w:val="auto"/>
                <w:sz w:val="18"/>
                <w:szCs w:val="18"/>
                <w:highlight w:val="none"/>
              </w:rPr>
              <w:t>基于校企合作的通信工程综合实践1</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48</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夏3</w:t>
            </w:r>
          </w:p>
        </w:tc>
      </w:tr>
      <w:tr>
        <w:tblPrEx>
          <w:tblCellMar>
            <w:top w:w="0" w:type="dxa"/>
            <w:left w:w="0" w:type="dxa"/>
            <w:bottom w:w="0" w:type="dxa"/>
            <w:right w:w="0" w:type="dxa"/>
          </w:tblCellMar>
        </w:tblPrEx>
        <w:trPr>
          <w:trHeight w:val="340"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DejaVu Sans"/>
                <w:color w:val="auto"/>
                <w:sz w:val="20"/>
                <w:szCs w:val="20"/>
                <w:highlight w:val="none"/>
              </w:rPr>
            </w:pPr>
            <w:r>
              <w:rPr>
                <w:rFonts w:hint="eastAsia" w:ascii="宋体" w:hAnsi="宋体" w:cs="DejaVu Sans"/>
                <w:color w:val="auto"/>
                <w:sz w:val="20"/>
                <w:szCs w:val="20"/>
                <w:highlight w:val="none"/>
              </w:rPr>
              <w:t>b4012200</w:t>
            </w:r>
          </w:p>
        </w:tc>
        <w:tc>
          <w:tcPr>
            <w:tcW w:w="299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rPr>
                <w:rFonts w:ascii="宋体" w:hAnsi="宋体"/>
                <w:color w:val="auto"/>
                <w:sz w:val="18"/>
                <w:szCs w:val="18"/>
                <w:highlight w:val="none"/>
              </w:rPr>
            </w:pPr>
            <w:r>
              <w:rPr>
                <w:rFonts w:hint="eastAsia" w:ascii="宋体" w:hAnsi="宋体" w:cs="宋体"/>
                <w:color w:val="auto"/>
                <w:sz w:val="18"/>
                <w:szCs w:val="18"/>
                <w:highlight w:val="none"/>
              </w:rPr>
              <w:t>基于校企合作的通信工程综合实践2</w:t>
            </w: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ascii="宋体" w:hAnsi="宋体"/>
                <w:color w:val="auto"/>
                <w:sz w:val="20"/>
                <w:szCs w:val="20"/>
                <w:highlight w:val="none"/>
              </w:rPr>
              <w:t>4</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ascii="宋体" w:hAnsi="宋体"/>
                <w:color w:val="auto"/>
                <w:sz w:val="20"/>
                <w:szCs w:val="20"/>
                <w:highlight w:val="none"/>
              </w:rPr>
              <w:t>96</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ascii="宋体" w:hAnsi="宋体"/>
                <w:color w:val="auto"/>
                <w:sz w:val="20"/>
                <w:szCs w:val="20"/>
                <w:highlight w:val="none"/>
              </w:rPr>
              <w:t>96</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秋4</w:t>
            </w:r>
          </w:p>
        </w:tc>
      </w:tr>
      <w:tr>
        <w:tblPrEx>
          <w:tblCellMar>
            <w:top w:w="0" w:type="dxa"/>
            <w:left w:w="0" w:type="dxa"/>
            <w:bottom w:w="0" w:type="dxa"/>
            <w:right w:w="0" w:type="dxa"/>
          </w:tblCellMar>
        </w:tblPrEx>
        <w:trPr>
          <w:trHeight w:val="529" w:hRule="exact"/>
          <w:jc w:val="center"/>
        </w:trPr>
        <w:tc>
          <w:tcPr>
            <w:tcW w:w="3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计信</w:t>
            </w:r>
          </w:p>
        </w:tc>
        <w:tc>
          <w:tcPr>
            <w:tcW w:w="970" w:type="dxa"/>
            <w:tcBorders>
              <w:top w:val="nil"/>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ascii="宋体" w:hAnsi="宋体"/>
                <w:color w:val="auto"/>
                <w:sz w:val="20"/>
                <w:szCs w:val="20"/>
                <w:highlight w:val="none"/>
              </w:rPr>
              <w:t>b4012132</w:t>
            </w:r>
          </w:p>
        </w:tc>
        <w:tc>
          <w:tcPr>
            <w:tcW w:w="2999" w:type="dxa"/>
            <w:tcBorders>
              <w:top w:val="nil"/>
              <w:left w:val="nil"/>
              <w:bottom w:val="single" w:color="auto" w:sz="4" w:space="0"/>
              <w:right w:val="single" w:color="auto" w:sz="4" w:space="0"/>
            </w:tcBorders>
            <w:shd w:val="clear" w:color="auto" w:fill="FFFFFF"/>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通信工程专业毕业实习与毕业设计（论文）</w:t>
            </w:r>
          </w:p>
          <w:p>
            <w:pPr>
              <w:adjustRightInd w:val="0"/>
              <w:snapToGrid w:val="0"/>
              <w:rPr>
                <w:rFonts w:ascii="宋体" w:hAnsi="宋体"/>
                <w:color w:val="auto"/>
                <w:sz w:val="20"/>
                <w:szCs w:val="20"/>
                <w:highlight w:val="none"/>
              </w:rPr>
            </w:pPr>
          </w:p>
        </w:tc>
        <w:tc>
          <w:tcPr>
            <w:tcW w:w="283"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w:t>
            </w:r>
          </w:p>
        </w:tc>
        <w:tc>
          <w:tcPr>
            <w:tcW w:w="567"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288</w:t>
            </w:r>
          </w:p>
        </w:tc>
        <w:tc>
          <w:tcPr>
            <w:tcW w:w="511"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288　</w:t>
            </w:r>
          </w:p>
        </w:tc>
        <w:tc>
          <w:tcPr>
            <w:tcW w:w="734"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olor w:val="auto"/>
                <w:sz w:val="20"/>
                <w:szCs w:val="20"/>
                <w:highlight w:val="none"/>
              </w:rPr>
              <w:t>春4</w:t>
            </w:r>
          </w:p>
        </w:tc>
      </w:tr>
      <w:tr>
        <w:tblPrEx>
          <w:tblCellMar>
            <w:top w:w="0" w:type="dxa"/>
            <w:left w:w="0" w:type="dxa"/>
            <w:bottom w:w="0" w:type="dxa"/>
            <w:right w:w="0" w:type="dxa"/>
          </w:tblCellMar>
        </w:tblPrEx>
        <w:trPr>
          <w:trHeight w:val="340" w:hRule="exact"/>
          <w:jc w:val="center"/>
        </w:trPr>
        <w:tc>
          <w:tcPr>
            <w:tcW w:w="5125" w:type="dxa"/>
            <w:gridSpan w:val="5"/>
            <w:tcBorders>
              <w:top w:val="single" w:color="auto" w:sz="4" w:space="0"/>
              <w:left w:val="single" w:color="auto" w:sz="4" w:space="0"/>
              <w:bottom w:val="nil"/>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小  计（专业实践）</w:t>
            </w:r>
          </w:p>
        </w:tc>
        <w:tc>
          <w:tcPr>
            <w:tcW w:w="283" w:type="dxa"/>
            <w:tcBorders>
              <w:top w:val="nil"/>
              <w:left w:val="nil"/>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D9D9D9"/>
          </w:tcPr>
          <w:p>
            <w:pPr>
              <w:widowControl/>
              <w:adjustRightInd w:val="0"/>
              <w:snapToGrid w:val="0"/>
              <w:jc w:val="center"/>
              <w:textAlignment w:val="center"/>
              <w:rPr>
                <w:rFonts w:ascii="宋体" w:hAnsi="宋体"/>
                <w:b/>
                <w:color w:val="auto"/>
                <w:sz w:val="20"/>
                <w:szCs w:val="20"/>
                <w:highlight w:val="none"/>
              </w:rPr>
            </w:pPr>
            <w:r>
              <w:rPr>
                <w:rFonts w:ascii="宋体" w:hAnsi="宋体"/>
                <w:b/>
                <w:color w:val="auto"/>
                <w:sz w:val="20"/>
                <w:szCs w:val="20"/>
                <w:highlight w:val="none"/>
              </w:rPr>
              <w:fldChar w:fldCharType="begin"/>
            </w:r>
            <w:r>
              <w:rPr>
                <w:rFonts w:ascii="宋体" w:hAnsi="宋体"/>
                <w:b/>
                <w:color w:val="auto"/>
                <w:sz w:val="20"/>
                <w:szCs w:val="20"/>
                <w:highlight w:val="none"/>
              </w:rPr>
              <w:instrText xml:space="preserve"> =SUM(ABOVE) </w:instrText>
            </w:r>
            <w:r>
              <w:rPr>
                <w:rFonts w:ascii="宋体" w:hAnsi="宋体"/>
                <w:b/>
                <w:color w:val="auto"/>
                <w:sz w:val="20"/>
                <w:szCs w:val="20"/>
                <w:highlight w:val="none"/>
              </w:rPr>
              <w:fldChar w:fldCharType="separate"/>
            </w:r>
            <w:r>
              <w:rPr>
                <w:rFonts w:ascii="宋体" w:hAnsi="宋体"/>
                <w:b/>
                <w:color w:val="auto"/>
                <w:sz w:val="20"/>
                <w:szCs w:val="20"/>
                <w:highlight w:val="none"/>
              </w:rPr>
              <w:t>23.5</w:t>
            </w:r>
            <w:r>
              <w:rPr>
                <w:rFonts w:ascii="宋体" w:hAnsi="宋体"/>
                <w:b/>
                <w:color w:val="auto"/>
                <w:sz w:val="20"/>
                <w:szCs w:val="20"/>
                <w:highlight w:val="none"/>
              </w:rPr>
              <w:fldChar w:fldCharType="end"/>
            </w:r>
          </w:p>
        </w:tc>
        <w:tc>
          <w:tcPr>
            <w:tcW w:w="567" w:type="dxa"/>
            <w:tcBorders>
              <w:top w:val="nil"/>
              <w:left w:val="nil"/>
              <w:bottom w:val="single" w:color="auto" w:sz="4" w:space="0"/>
              <w:right w:val="single" w:color="auto" w:sz="4" w:space="0"/>
            </w:tcBorders>
            <w:shd w:val="clear" w:color="auto" w:fill="D9D9D9"/>
          </w:tcPr>
          <w:p>
            <w:pPr>
              <w:widowControl/>
              <w:adjustRightInd w:val="0"/>
              <w:snapToGrid w:val="0"/>
              <w:jc w:val="center"/>
              <w:textAlignment w:val="center"/>
              <w:rPr>
                <w:rFonts w:ascii="宋体" w:hAnsi="宋体"/>
                <w:b/>
                <w:color w:val="auto"/>
                <w:sz w:val="20"/>
                <w:szCs w:val="20"/>
                <w:highlight w:val="none"/>
              </w:rPr>
            </w:pPr>
            <w:r>
              <w:rPr>
                <w:rFonts w:ascii="宋体" w:hAnsi="宋体"/>
                <w:b/>
                <w:color w:val="auto"/>
                <w:sz w:val="20"/>
                <w:szCs w:val="20"/>
                <w:highlight w:val="none"/>
              </w:rPr>
              <w:fldChar w:fldCharType="begin"/>
            </w:r>
            <w:r>
              <w:rPr>
                <w:rFonts w:ascii="宋体" w:hAnsi="宋体"/>
                <w:b/>
                <w:color w:val="auto"/>
                <w:sz w:val="20"/>
                <w:szCs w:val="20"/>
                <w:highlight w:val="none"/>
              </w:rPr>
              <w:instrText xml:space="preserve"> =SUM(ABOVE) </w:instrText>
            </w:r>
            <w:r>
              <w:rPr>
                <w:rFonts w:ascii="宋体" w:hAnsi="宋体"/>
                <w:b/>
                <w:color w:val="auto"/>
                <w:sz w:val="20"/>
                <w:szCs w:val="20"/>
                <w:highlight w:val="none"/>
              </w:rPr>
              <w:fldChar w:fldCharType="separate"/>
            </w:r>
            <w:r>
              <w:rPr>
                <w:rFonts w:ascii="宋体" w:hAnsi="宋体"/>
                <w:b/>
                <w:color w:val="auto"/>
                <w:sz w:val="20"/>
                <w:szCs w:val="20"/>
                <w:highlight w:val="none"/>
              </w:rPr>
              <w:t>712</w:t>
            </w:r>
            <w:r>
              <w:rPr>
                <w:rFonts w:ascii="宋体" w:hAnsi="宋体"/>
                <w:b/>
                <w:color w:val="auto"/>
                <w:sz w:val="20"/>
                <w:szCs w:val="20"/>
                <w:highlight w:val="none"/>
              </w:rPr>
              <w:fldChar w:fldCharType="end"/>
            </w:r>
          </w:p>
        </w:tc>
        <w:tc>
          <w:tcPr>
            <w:tcW w:w="511" w:type="dxa"/>
            <w:tcBorders>
              <w:top w:val="nil"/>
              <w:left w:val="nil"/>
              <w:bottom w:val="single" w:color="auto" w:sz="4" w:space="0"/>
              <w:right w:val="single" w:color="auto" w:sz="4" w:space="0"/>
            </w:tcBorders>
            <w:shd w:val="clear" w:color="auto" w:fill="D9D9D9"/>
          </w:tcPr>
          <w:p>
            <w:pPr>
              <w:widowControl/>
              <w:adjustRightInd w:val="0"/>
              <w:snapToGrid w:val="0"/>
              <w:jc w:val="center"/>
              <w:textAlignment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D9D9D9"/>
          </w:tcPr>
          <w:p>
            <w:pPr>
              <w:widowControl/>
              <w:adjustRightInd w:val="0"/>
              <w:snapToGrid w:val="0"/>
              <w:jc w:val="center"/>
              <w:textAlignment w:val="center"/>
              <w:rPr>
                <w:rFonts w:ascii="宋体" w:hAnsi="宋体"/>
                <w:b/>
                <w:color w:val="auto"/>
                <w:sz w:val="20"/>
                <w:szCs w:val="20"/>
                <w:highlight w:val="none"/>
              </w:rPr>
            </w:pPr>
            <w:r>
              <w:rPr>
                <w:rFonts w:ascii="宋体" w:hAnsi="宋体"/>
                <w:b/>
                <w:color w:val="auto"/>
                <w:sz w:val="20"/>
                <w:szCs w:val="20"/>
                <w:highlight w:val="none"/>
              </w:rPr>
              <w:fldChar w:fldCharType="begin"/>
            </w:r>
            <w:r>
              <w:rPr>
                <w:rFonts w:ascii="宋体" w:hAnsi="宋体"/>
                <w:b/>
                <w:color w:val="auto"/>
                <w:sz w:val="20"/>
                <w:szCs w:val="20"/>
                <w:highlight w:val="none"/>
              </w:rPr>
              <w:instrText xml:space="preserve"> =SUM(ABOVE) </w:instrText>
            </w:r>
            <w:r>
              <w:rPr>
                <w:rFonts w:ascii="宋体" w:hAnsi="宋体"/>
                <w:b/>
                <w:color w:val="auto"/>
                <w:sz w:val="20"/>
                <w:szCs w:val="20"/>
                <w:highlight w:val="none"/>
              </w:rPr>
              <w:fldChar w:fldCharType="separate"/>
            </w:r>
            <w:r>
              <w:rPr>
                <w:rFonts w:ascii="宋体" w:hAnsi="宋体"/>
                <w:b/>
                <w:color w:val="auto"/>
                <w:sz w:val="20"/>
                <w:szCs w:val="20"/>
                <w:highlight w:val="none"/>
              </w:rPr>
              <w:t>712</w:t>
            </w:r>
            <w:r>
              <w:rPr>
                <w:rFonts w:ascii="宋体" w:hAnsi="宋体"/>
                <w:b/>
                <w:color w:val="auto"/>
                <w:sz w:val="20"/>
                <w:szCs w:val="20"/>
                <w:highlight w:val="none"/>
              </w:rPr>
              <w:fldChar w:fldCharType="end"/>
            </w:r>
          </w:p>
        </w:tc>
        <w:tc>
          <w:tcPr>
            <w:tcW w:w="734" w:type="dxa"/>
            <w:tcBorders>
              <w:top w:val="nil"/>
              <w:left w:val="nil"/>
              <w:bottom w:val="single" w:color="auto" w:sz="4" w:space="0"/>
              <w:right w:val="single" w:color="auto" w:sz="4" w:space="0"/>
            </w:tcBorders>
            <w:shd w:val="clear" w:color="auto" w:fill="D9D9D9"/>
          </w:tcPr>
          <w:p>
            <w:pPr>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1102" w:hRule="exact"/>
          <w:jc w:val="center"/>
        </w:trPr>
        <w:tc>
          <w:tcPr>
            <w:tcW w:w="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b5110001</w:t>
            </w:r>
          </w:p>
        </w:tc>
        <w:tc>
          <w:tcPr>
            <w:tcW w:w="29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第二课堂</w:t>
            </w:r>
          </w:p>
        </w:tc>
        <w:tc>
          <w:tcPr>
            <w:tcW w:w="28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
                <w:bCs/>
                <w:color w:val="auto"/>
                <w:sz w:val="20"/>
                <w:szCs w:val="20"/>
                <w:highlight w:val="none"/>
              </w:rPr>
            </w:pPr>
            <w:r>
              <w:rPr>
                <w:rFonts w:hint="eastAsia" w:ascii="宋体" w:hAnsi="宋体"/>
                <w:b/>
                <w:bCs/>
                <w:color w:val="auto"/>
                <w:sz w:val="20"/>
                <w:szCs w:val="20"/>
                <w:highlight w:val="none"/>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Cs/>
                <w:color w:val="auto"/>
                <w:sz w:val="20"/>
                <w:szCs w:val="20"/>
                <w:highlight w:val="none"/>
              </w:rPr>
            </w:pPr>
            <w:r>
              <w:rPr>
                <w:rFonts w:hint="eastAsia" w:ascii="宋体" w:hAnsi="宋体"/>
                <w:bCs/>
                <w:color w:val="auto"/>
                <w:sz w:val="20"/>
                <w:szCs w:val="20"/>
                <w:highlight w:val="none"/>
              </w:rPr>
              <w:t>-</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Cs/>
                <w:color w:val="auto"/>
                <w:sz w:val="20"/>
                <w:szCs w:val="20"/>
                <w:highlight w:val="none"/>
              </w:rPr>
            </w:pPr>
            <w:r>
              <w:rPr>
                <w:rFonts w:hint="eastAsia" w:ascii="宋体" w:hAnsi="宋体"/>
                <w:bCs/>
                <w:color w:val="auto"/>
                <w:sz w:val="20"/>
                <w:szCs w:val="20"/>
                <w:highlight w:val="none"/>
              </w:rPr>
              <w:t>-</w:t>
            </w: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Cs/>
                <w:color w:val="auto"/>
                <w:sz w:val="20"/>
                <w:szCs w:val="20"/>
                <w:highlight w:val="none"/>
              </w:rPr>
            </w:pPr>
            <w:r>
              <w:rPr>
                <w:rFonts w:hint="eastAsia" w:ascii="宋体" w:hAnsi="宋体"/>
                <w:bCs/>
                <w:color w:val="auto"/>
                <w:sz w:val="20"/>
                <w:szCs w:val="20"/>
                <w:highlight w:val="none"/>
              </w:rPr>
              <w:t>-</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宋体" w:hAnsi="宋体"/>
                <w:bCs/>
                <w:color w:val="auto"/>
                <w:sz w:val="20"/>
                <w:szCs w:val="20"/>
                <w:highlight w:val="none"/>
              </w:rPr>
            </w:pPr>
            <w:r>
              <w:rPr>
                <w:rFonts w:hint="eastAsia" w:ascii="宋体" w:hAnsi="宋体"/>
                <w:bCs/>
                <w:color w:val="auto"/>
                <w:sz w:val="20"/>
                <w:szCs w:val="20"/>
                <w:highlight w:val="none"/>
              </w:rPr>
              <w:t>秋，春，夏</w:t>
            </w:r>
          </w:p>
        </w:tc>
      </w:tr>
      <w:tr>
        <w:tblPrEx>
          <w:tblCellMar>
            <w:top w:w="0" w:type="dxa"/>
            <w:left w:w="0" w:type="dxa"/>
            <w:bottom w:w="0" w:type="dxa"/>
            <w:right w:w="0" w:type="dxa"/>
          </w:tblCellMar>
        </w:tblPrEx>
        <w:trPr>
          <w:trHeight w:val="302" w:hRule="exact"/>
          <w:jc w:val="center"/>
        </w:trPr>
        <w:tc>
          <w:tcPr>
            <w:tcW w:w="5125"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总   计</w:t>
            </w:r>
          </w:p>
        </w:tc>
        <w:tc>
          <w:tcPr>
            <w:tcW w:w="283"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cs="宋体"/>
                <w:b/>
                <w:color w:val="auto"/>
                <w:sz w:val="20"/>
                <w:szCs w:val="20"/>
                <w:highlight w:val="none"/>
              </w:rPr>
            </w:pPr>
          </w:p>
        </w:tc>
        <w:tc>
          <w:tcPr>
            <w:tcW w:w="425"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hint="eastAsia" w:ascii="宋体" w:hAnsi="宋体" w:eastAsia="宋体"/>
                <w:b/>
                <w:color w:val="auto"/>
                <w:sz w:val="20"/>
                <w:szCs w:val="20"/>
                <w:highlight w:val="none"/>
                <w:lang w:eastAsia="zh-CN"/>
              </w:rPr>
            </w:pPr>
            <w:r>
              <w:rPr>
                <w:rFonts w:ascii="宋体" w:hAnsi="宋体"/>
                <w:b/>
                <w:color w:val="auto"/>
                <w:sz w:val="20"/>
                <w:szCs w:val="20"/>
                <w:highlight w:val="none"/>
              </w:rPr>
              <w:t>16</w:t>
            </w:r>
            <w:r>
              <w:rPr>
                <w:rFonts w:hint="eastAsia" w:ascii="宋体" w:hAnsi="宋体"/>
                <w:b/>
                <w:color w:val="auto"/>
                <w:sz w:val="20"/>
                <w:szCs w:val="20"/>
                <w:highlight w:val="none"/>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jc w:val="center"/>
              <w:textAlignment w:val="center"/>
              <w:rPr>
                <w:rFonts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3144</w:t>
            </w:r>
          </w:p>
        </w:tc>
        <w:tc>
          <w:tcPr>
            <w:tcW w:w="511"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jc w:val="center"/>
              <w:textAlignment w:val="center"/>
              <w:rPr>
                <w:rFonts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2042</w:t>
            </w:r>
          </w:p>
        </w:tc>
        <w:tc>
          <w:tcPr>
            <w:tcW w:w="434"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jc w:val="center"/>
              <w:textAlignment w:val="center"/>
              <w:rPr>
                <w:rFonts w:ascii="宋体" w:hAnsi="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1102</w:t>
            </w:r>
          </w:p>
        </w:tc>
        <w:tc>
          <w:tcPr>
            <w:tcW w:w="734" w:type="dxa"/>
            <w:tcBorders>
              <w:top w:val="single" w:color="auto" w:sz="4" w:space="0"/>
              <w:left w:val="single" w:color="auto" w:sz="4" w:space="0"/>
              <w:bottom w:val="single" w:color="auto" w:sz="4" w:space="0"/>
              <w:right w:val="single" w:color="auto" w:sz="4" w:space="0"/>
            </w:tcBorders>
            <w:shd w:val="clear" w:color="auto" w:fill="D9D9D9"/>
            <w:vAlign w:val="center"/>
          </w:tcPr>
          <w:p>
            <w:pPr>
              <w:adjustRightInd w:val="0"/>
              <w:snapToGrid w:val="0"/>
              <w:jc w:val="center"/>
              <w:rPr>
                <w:rFonts w:ascii="宋体" w:hAnsi="宋体"/>
                <w:b/>
                <w:color w:val="auto"/>
                <w:sz w:val="20"/>
                <w:szCs w:val="20"/>
                <w:highlight w:val="none"/>
              </w:rPr>
            </w:pPr>
          </w:p>
        </w:tc>
      </w:tr>
      <w:bookmarkEnd w:id="0"/>
    </w:tbl>
    <w:p>
      <w:pPr>
        <w:adjustRightInd w:val="0"/>
        <w:snapToGrid w:val="0"/>
        <w:rPr>
          <w:rFonts w:ascii="黑体" w:hAnsi="宋体" w:eastAsia="黑体"/>
          <w:b/>
          <w:color w:val="auto"/>
          <w:szCs w:val="21"/>
          <w:highlight w:val="none"/>
        </w:rPr>
      </w:pPr>
    </w:p>
    <w:p>
      <w:pPr>
        <w:adjustRightInd w:val="0"/>
        <w:snapToGrid w:val="0"/>
        <w:rPr>
          <w:rFonts w:ascii="黑体" w:hAnsi="宋体" w:eastAsia="黑体"/>
          <w:b/>
          <w:color w:val="auto"/>
          <w:szCs w:val="21"/>
          <w:highlight w:val="none"/>
        </w:rPr>
      </w:pPr>
      <w:r>
        <w:rPr>
          <w:rFonts w:hint="eastAsia" w:ascii="黑体" w:hAnsi="宋体" w:eastAsia="黑体"/>
          <w:b/>
          <w:color w:val="auto"/>
          <w:szCs w:val="21"/>
          <w:highlight w:val="none"/>
        </w:rPr>
        <w:t xml:space="preserve">专业选修课选修说明： </w:t>
      </w:r>
    </w:p>
    <w:p>
      <w:pPr>
        <w:adjustRightInd w:val="0"/>
        <w:snapToGrid w:val="0"/>
        <w:rPr>
          <w:rFonts w:ascii="宋体" w:hAnsi="宋体"/>
          <w:b/>
          <w:bCs/>
          <w:color w:val="auto"/>
          <w:szCs w:val="21"/>
          <w:highlight w:val="none"/>
        </w:rPr>
      </w:pPr>
      <w:r>
        <w:rPr>
          <w:rFonts w:hint="eastAsia" w:ascii="宋体" w:hAnsi="宋体"/>
          <w:b/>
          <w:bCs/>
          <w:color w:val="auto"/>
          <w:szCs w:val="21"/>
          <w:highlight w:val="none"/>
        </w:rPr>
        <w:t>模块A 移动通信</w:t>
      </w:r>
    </w:p>
    <w:p>
      <w:pPr>
        <w:adjustRightInd w:val="0"/>
        <w:snapToGrid w:val="0"/>
        <w:ind w:firstLine="420" w:firstLineChars="200"/>
        <w:rPr>
          <w:rFonts w:ascii="宋体" w:hAnsi="宋体"/>
          <w:color w:val="auto"/>
          <w:szCs w:val="21"/>
          <w:highlight w:val="none"/>
        </w:rPr>
      </w:pPr>
      <w:r>
        <w:rPr>
          <w:color w:val="auto"/>
          <w:highlight w:val="none"/>
        </w:rPr>
        <w:t>以移动通信技术跨代演进为主线，以实际工程任务为导向，讲授2G到5G移动通信系统的基本原理和现代移动通信网的设计、建造、管理和优化技术</w:t>
      </w:r>
      <w:r>
        <w:rPr>
          <w:rFonts w:hint="eastAsia"/>
          <w:color w:val="auto"/>
          <w:highlight w:val="none"/>
        </w:rPr>
        <w:t>。</w:t>
      </w:r>
    </w:p>
    <w:p>
      <w:pPr>
        <w:adjustRightInd w:val="0"/>
        <w:snapToGrid w:val="0"/>
        <w:rPr>
          <w:rFonts w:ascii="宋体" w:hAnsi="宋体"/>
          <w:b/>
          <w:bCs/>
          <w:color w:val="auto"/>
          <w:szCs w:val="21"/>
          <w:highlight w:val="none"/>
        </w:rPr>
      </w:pPr>
      <w:r>
        <w:rPr>
          <w:rFonts w:hint="eastAsia" w:ascii="宋体" w:hAnsi="宋体"/>
          <w:b/>
          <w:bCs/>
          <w:color w:val="auto"/>
          <w:szCs w:val="21"/>
          <w:highlight w:val="none"/>
        </w:rPr>
        <w:t>模块B</w:t>
      </w:r>
      <w:r>
        <w:rPr>
          <w:rFonts w:ascii="宋体" w:hAnsi="宋体"/>
          <w:b/>
          <w:bCs/>
          <w:color w:val="auto"/>
          <w:szCs w:val="21"/>
          <w:highlight w:val="none"/>
        </w:rPr>
        <w:t xml:space="preserve"> </w:t>
      </w:r>
      <w:r>
        <w:rPr>
          <w:rFonts w:hint="eastAsia" w:ascii="宋体" w:hAnsi="宋体"/>
          <w:b/>
          <w:bCs/>
          <w:color w:val="auto"/>
          <w:szCs w:val="21"/>
          <w:highlight w:val="none"/>
        </w:rPr>
        <w:t>数据通信</w:t>
      </w:r>
    </w:p>
    <w:p>
      <w:pPr>
        <w:adjustRightInd w:val="0"/>
        <w:snapToGrid w:val="0"/>
        <w:ind w:firstLine="420" w:firstLineChars="200"/>
        <w:rPr>
          <w:rFonts w:ascii="宋体" w:hAnsi="宋体"/>
          <w:color w:val="auto"/>
          <w:szCs w:val="21"/>
          <w:highlight w:val="none"/>
        </w:rPr>
      </w:pPr>
      <w:r>
        <w:rPr>
          <w:rFonts w:hint="eastAsia"/>
          <w:color w:val="auto"/>
          <w:highlight w:val="none"/>
        </w:rPr>
        <w:t>对</w:t>
      </w:r>
      <w:r>
        <w:rPr>
          <w:color w:val="auto"/>
          <w:highlight w:val="none"/>
        </w:rPr>
        <w:t>数据通信涉及</w:t>
      </w:r>
      <w:r>
        <w:rPr>
          <w:rFonts w:hint="eastAsia"/>
          <w:color w:val="auto"/>
          <w:highlight w:val="none"/>
        </w:rPr>
        <w:t>的</w:t>
      </w:r>
      <w:r>
        <w:rPr>
          <w:color w:val="auto"/>
          <w:highlight w:val="none"/>
        </w:rPr>
        <w:t>关键技术</w:t>
      </w:r>
      <w:r>
        <w:rPr>
          <w:rFonts w:hint="eastAsia"/>
          <w:color w:val="auto"/>
          <w:highlight w:val="none"/>
        </w:rPr>
        <w:t>与</w:t>
      </w:r>
      <w:r>
        <w:rPr>
          <w:color w:val="auto"/>
          <w:highlight w:val="none"/>
        </w:rPr>
        <w:t>解决</w:t>
      </w:r>
      <w:r>
        <w:rPr>
          <w:rFonts w:hint="eastAsia"/>
          <w:color w:val="auto"/>
          <w:highlight w:val="none"/>
        </w:rPr>
        <w:t>方案进行系统剖析</w:t>
      </w:r>
      <w:r>
        <w:rPr>
          <w:color w:val="auto"/>
          <w:highlight w:val="none"/>
        </w:rPr>
        <w:t>，</w:t>
      </w:r>
      <w:r>
        <w:rPr>
          <w:rFonts w:hint="eastAsia"/>
          <w:color w:val="auto"/>
          <w:highlight w:val="none"/>
        </w:rPr>
        <w:t>讲授</w:t>
      </w:r>
      <w:r>
        <w:rPr>
          <w:color w:val="auto"/>
          <w:highlight w:val="none"/>
        </w:rPr>
        <w:t>数据通信网络工程从规划、选型、施工、测试到管理的全过程，最终使学生具备设计建造和管理维护中等规模商用网络的能力</w:t>
      </w:r>
      <w:r>
        <w:rPr>
          <w:rFonts w:hint="eastAsia" w:ascii="宋体" w:hAnsi="宋体"/>
          <w:color w:val="auto"/>
          <w:szCs w:val="21"/>
          <w:highlight w:val="none"/>
        </w:rPr>
        <w:t>。</w:t>
      </w:r>
    </w:p>
    <w:p>
      <w:pPr>
        <w:adjustRightInd w:val="0"/>
        <w:snapToGrid w:val="0"/>
        <w:rPr>
          <w:rFonts w:ascii="宋体" w:hAnsi="宋体"/>
          <w:b/>
          <w:bCs/>
          <w:color w:val="auto"/>
          <w:szCs w:val="21"/>
          <w:highlight w:val="none"/>
        </w:rPr>
      </w:pPr>
      <w:r>
        <w:rPr>
          <w:rFonts w:hint="eastAsia" w:ascii="宋体" w:hAnsi="宋体"/>
          <w:b/>
          <w:bCs/>
          <w:color w:val="auto"/>
          <w:szCs w:val="21"/>
          <w:highlight w:val="none"/>
        </w:rPr>
        <w:t>模块C</w:t>
      </w:r>
      <w:r>
        <w:rPr>
          <w:rFonts w:ascii="宋体" w:hAnsi="宋体"/>
          <w:b/>
          <w:bCs/>
          <w:color w:val="auto"/>
          <w:szCs w:val="21"/>
          <w:highlight w:val="none"/>
        </w:rPr>
        <w:t xml:space="preserve"> </w:t>
      </w:r>
      <w:r>
        <w:rPr>
          <w:rFonts w:hint="eastAsia" w:ascii="宋体" w:hAnsi="宋体"/>
          <w:b/>
          <w:bCs/>
          <w:color w:val="auto"/>
          <w:szCs w:val="21"/>
          <w:highlight w:val="none"/>
        </w:rPr>
        <w:t>系统开发</w:t>
      </w:r>
    </w:p>
    <w:p>
      <w:pPr>
        <w:adjustRightInd w:val="0"/>
        <w:snapToGrid w:val="0"/>
        <w:ind w:firstLine="420" w:firstLineChars="200"/>
        <w:rPr>
          <w:rFonts w:ascii="宋体" w:hAnsi="宋体"/>
          <w:color w:val="auto"/>
          <w:szCs w:val="21"/>
          <w:highlight w:val="none"/>
        </w:rPr>
      </w:pPr>
      <w:r>
        <w:rPr>
          <w:rFonts w:hint="eastAsia"/>
          <w:color w:val="auto"/>
          <w:highlight w:val="none"/>
        </w:rPr>
        <w:t>以信息获取、分析处理、存储查询为主线，讲授通信与信息系统的软硬件开发原理与方法，使学生具备典型嵌入式系统、数据库系统、固网通信以及移动通信开发技术</w:t>
      </w:r>
      <w:r>
        <w:rPr>
          <w:rFonts w:hint="eastAsia" w:ascii="宋体" w:hAnsi="宋体"/>
          <w:color w:val="auto"/>
          <w:szCs w:val="21"/>
          <w:highlight w:val="none"/>
        </w:rPr>
        <w:t>。</w:t>
      </w:r>
    </w:p>
    <w:p>
      <w:pPr>
        <w:adjustRightInd w:val="0"/>
        <w:snapToGrid w:val="0"/>
        <w:rPr>
          <w:rFonts w:ascii="宋体" w:hAnsi="宋体"/>
          <w:b/>
          <w:bCs/>
          <w:color w:val="auto"/>
          <w:szCs w:val="21"/>
          <w:highlight w:val="none"/>
        </w:rPr>
      </w:pPr>
      <w:r>
        <w:rPr>
          <w:rFonts w:hint="eastAsia" w:ascii="宋体" w:hAnsi="宋体"/>
          <w:b/>
          <w:bCs/>
          <w:color w:val="auto"/>
          <w:szCs w:val="21"/>
          <w:highlight w:val="none"/>
        </w:rPr>
        <w:t>模块D</w:t>
      </w:r>
      <w:r>
        <w:rPr>
          <w:rFonts w:ascii="宋体" w:hAnsi="宋体"/>
          <w:b/>
          <w:bCs/>
          <w:color w:val="auto"/>
          <w:szCs w:val="21"/>
          <w:highlight w:val="none"/>
        </w:rPr>
        <w:t xml:space="preserve"> </w:t>
      </w:r>
      <w:r>
        <w:rPr>
          <w:rFonts w:hint="eastAsia" w:ascii="宋体" w:hAnsi="宋体"/>
          <w:b/>
          <w:bCs/>
          <w:color w:val="auto"/>
          <w:szCs w:val="21"/>
          <w:highlight w:val="none"/>
        </w:rPr>
        <w:t>智能通信</w:t>
      </w:r>
    </w:p>
    <w:p>
      <w:pPr>
        <w:adjustRightInd w:val="0"/>
        <w:snapToGrid w:val="0"/>
        <w:ind w:firstLine="420" w:firstLineChars="200"/>
        <w:rPr>
          <w:color w:val="auto"/>
          <w:highlight w:val="none"/>
        </w:rPr>
      </w:pPr>
      <w:r>
        <w:rPr>
          <w:rFonts w:hint="eastAsia"/>
          <w:color w:val="auto"/>
          <w:highlight w:val="none"/>
        </w:rPr>
        <w:t xml:space="preserve">以光纤通信、现代交换和智能处理等技术为依托，系统讲述通信业务的融合发展与前沿应用。 </w:t>
      </w:r>
    </w:p>
    <w:p>
      <w:pPr>
        <w:adjustRightInd w:val="0"/>
        <w:snapToGrid w:val="0"/>
        <w:spacing w:line="360" w:lineRule="auto"/>
        <w:ind w:firstLine="420" w:firstLineChars="200"/>
        <w:rPr>
          <w:color w:val="auto"/>
          <w:highlight w:val="none"/>
        </w:rPr>
      </w:pPr>
    </w:p>
    <w:p>
      <w:pPr>
        <w:pStyle w:val="4"/>
        <w:pBdr>
          <w:top w:val="none" w:color="auto" w:sz="0" w:space="1"/>
          <w:left w:val="none" w:color="auto" w:sz="0" w:space="4"/>
          <w:bottom w:val="none" w:color="auto" w:sz="0" w:space="1"/>
          <w:right w:val="none" w:color="auto" w:sz="0" w:space="4"/>
        </w:pBdr>
        <w:adjustRightInd w:val="0"/>
        <w:snapToGrid w:val="0"/>
        <w:spacing w:after="0" w:line="360" w:lineRule="auto"/>
        <w:rPr>
          <w:rFonts w:ascii="黑体" w:hAnsi="黑体" w:eastAsia="黑体"/>
          <w:b/>
          <w:bCs/>
          <w:color w:val="auto"/>
          <w:sz w:val="21"/>
          <w:szCs w:val="21"/>
          <w:highlight w:val="none"/>
        </w:rPr>
      </w:pPr>
      <w:r>
        <w:rPr>
          <w:rFonts w:hint="eastAsia" w:ascii="黑体" w:hAnsi="黑体" w:eastAsia="黑体"/>
          <w:b/>
          <w:bCs/>
          <w:color w:val="auto"/>
          <w:sz w:val="21"/>
          <w:szCs w:val="21"/>
          <w:highlight w:val="none"/>
        </w:rPr>
        <w:t>十、第二课堂学分</w:t>
      </w:r>
    </w:p>
    <w:p>
      <w:pPr>
        <w:pBdr>
          <w:top w:val="none" w:color="auto" w:sz="0" w:space="1"/>
          <w:left w:val="none" w:color="auto" w:sz="0" w:space="4"/>
          <w:bottom w:val="none" w:color="auto" w:sz="0" w:space="1"/>
          <w:right w:val="none" w:color="auto" w:sz="0" w:space="4"/>
        </w:pBd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黑体" w:hAnsi="黑体" w:eastAsia="黑体" w:cs="黑体"/>
          <w:b/>
          <w:color w:val="auto"/>
          <w:szCs w:val="21"/>
          <w:highlight w:val="none"/>
        </w:rPr>
      </w:pPr>
      <w:r>
        <w:rPr>
          <w:rFonts w:hint="eastAsia" w:ascii="黑体" w:hAnsi="黑体" w:eastAsia="黑体" w:cs="黑体"/>
          <w:b/>
          <w:color w:val="auto"/>
          <w:szCs w:val="21"/>
          <w:highlight w:val="none"/>
        </w:rPr>
        <w:t>附录一：毕业要求对培养目标的支撑关系矩阵（√）</w:t>
      </w: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vAlign w:val="center"/>
          </w:tcPr>
          <w:p>
            <w:pPr>
              <w:adjustRightInd w:val="0"/>
              <w:jc w:val="right"/>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w:t>
            </w:r>
          </w:p>
          <w:p>
            <w:pPr>
              <w:adjustRightInd w:val="0"/>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w:t>
            </w:r>
          </w:p>
        </w:tc>
        <w:tc>
          <w:tcPr>
            <w:tcW w:w="1381" w:type="dxa"/>
            <w:vAlign w:val="center"/>
          </w:tcPr>
          <w:p>
            <w:pPr>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培养目标1</w:t>
            </w:r>
          </w:p>
        </w:tc>
        <w:tc>
          <w:tcPr>
            <w:tcW w:w="1381" w:type="dxa"/>
            <w:vAlign w:val="center"/>
          </w:tcPr>
          <w:p>
            <w:pPr>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培养目标2</w:t>
            </w:r>
          </w:p>
        </w:tc>
        <w:tc>
          <w:tcPr>
            <w:tcW w:w="1381" w:type="dxa"/>
            <w:vAlign w:val="center"/>
          </w:tcPr>
          <w:p>
            <w:pPr>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培养目标3</w:t>
            </w:r>
          </w:p>
        </w:tc>
        <w:tc>
          <w:tcPr>
            <w:tcW w:w="1381" w:type="dxa"/>
            <w:vAlign w:val="center"/>
          </w:tcPr>
          <w:p>
            <w:pPr>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培养目标4</w:t>
            </w:r>
          </w:p>
        </w:tc>
        <w:tc>
          <w:tcPr>
            <w:tcW w:w="1381" w:type="dxa"/>
            <w:vAlign w:val="center"/>
          </w:tcPr>
          <w:p>
            <w:pPr>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w:t>
            </w:r>
            <w:r>
              <w:rPr>
                <w:rFonts w:ascii="宋体" w:hAnsi="宋体" w:cs="宋体"/>
                <w:b/>
                <w:bCs/>
                <w:color w:val="auto"/>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毕业要求2</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毕业要求3</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毕业要求4</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毕业要求5</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毕业要求6</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毕业要求7</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毕业要求8</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毕业要求9</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xml:space="preserve">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毕业要求10</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毕业要求11</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毕业要求12</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vAlign w:val="center"/>
          </w:tcPr>
          <w:p>
            <w:pPr>
              <w:snapToGrid w:val="0"/>
              <w:jc w:val="center"/>
              <w:rPr>
                <w:rFonts w:ascii="黑体" w:hAnsi="黑体" w:eastAsia="黑体" w:cs="黑体"/>
                <w:color w:val="auto"/>
                <w:sz w:val="20"/>
                <w:szCs w:val="20"/>
                <w:highlight w:val="none"/>
              </w:rPr>
            </w:pPr>
          </w:p>
        </w:tc>
        <w:tc>
          <w:tcPr>
            <w:tcW w:w="1381" w:type="dxa"/>
            <w:vAlign w:val="center"/>
          </w:tcPr>
          <w:p>
            <w:pPr>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bl>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附录二：课程对毕业要求的支撑关系矩阵（H/M/L）</w:t>
      </w:r>
    </w:p>
    <w:tbl>
      <w:tblPr>
        <w:tblStyle w:val="5"/>
        <w:tblW w:w="8912" w:type="dxa"/>
        <w:jc w:val="center"/>
        <w:shd w:val="clear" w:color="auto" w:fill="FFFFFF"/>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tblPrEx>
          <w:shd w:val="clear" w:color="auto" w:fill="FFFFFF"/>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 xml:space="preserve">           毕业要求</w:t>
            </w:r>
          </w:p>
          <w:p>
            <w:pPr>
              <w:adjustRightInd w:val="0"/>
              <w:snapToGrid w:val="0"/>
              <w:jc w:val="center"/>
              <w:rPr>
                <w:rFonts w:ascii="宋体" w:hAnsi="宋体" w:cs="宋体"/>
                <w:b/>
                <w:bCs/>
                <w:color w:val="auto"/>
                <w:sz w:val="20"/>
                <w:szCs w:val="20"/>
                <w:highlight w:val="none"/>
              </w:rPr>
            </w:pPr>
          </w:p>
          <w:p>
            <w:pPr>
              <w:adjustRightInd w:val="0"/>
              <w:snapToGrid w:val="0"/>
              <w:ind w:firstLine="402" w:firstLineChars="200"/>
              <w:rPr>
                <w:rFonts w:ascii="宋体" w:hAnsi="宋体" w:cs="宋体"/>
                <w:b/>
                <w:bCs/>
                <w:color w:val="auto"/>
                <w:sz w:val="20"/>
                <w:szCs w:val="20"/>
                <w:highlight w:val="none"/>
              </w:rPr>
            </w:pPr>
            <w:r>
              <w:rPr>
                <w:rFonts w:hint="eastAsia" w:ascii="宋体" w:hAnsi="宋体" w:cs="宋体"/>
                <w:b/>
                <w:bCs/>
                <w:color w:val="auto"/>
                <w:sz w:val="20"/>
                <w:szCs w:val="20"/>
                <w:highlight w:val="none"/>
              </w:rPr>
              <w:t>课程名称</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毕业要求2</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毕业要求3</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毕业要求4</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毕业要求5</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毕业要求6</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毕业要求7</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毕业要求8</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毕业要求9</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毕业要求10</w:t>
            </w:r>
          </w:p>
        </w:tc>
        <w:tc>
          <w:tcPr>
            <w:tcW w:w="448"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毕业要求11</w:t>
            </w:r>
          </w:p>
        </w:tc>
        <w:tc>
          <w:tcPr>
            <w:tcW w:w="459"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毕业要求12</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3062" w:type="dxa"/>
            <w:tcBorders>
              <w:top w:val="single" w:color="000000" w:sz="4" w:space="0"/>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中国近现代史纲要</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马克思主义基本原理</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思想道德与法治</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615"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形势与政策(模块1～4)</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劳动教育A</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高等数学D</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线性代数</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概率论与数理统计</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复变函数与积分变换</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大学物理A/B</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大学物理C</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大学语文</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通用英语（日语、德语）</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通识课（人文、自然、美育）</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军事技能</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军事理论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基础工程训练B</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体育I～VI</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大学生心理健康教育</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第二课堂</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widowControl/>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电路分析基础</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模拟电子技术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数字电子技术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通信工程专业导论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程序设计基础</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数据结构与算法</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信息论与智能编码技术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信号与系统</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数字信号处理</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通信原理</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工程伦理</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单片机原理与应用</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电磁场与天线（英语）</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Java程序设计</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DSP原理与应用</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通信电子线路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移动通信基础</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互联网导论</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LTE系统与关键技术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下一代移动通信技术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移动通信设备与调测</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M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网络优化与规划</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路由与交换</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扩展网络设计</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广域网接入技术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数据通信系统工程</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通信嵌入式系统与应用</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数据库原理及应用</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固网应用开发</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移动应用开发</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现代交换与接入技术</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54</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光通信基础</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55</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AI与移动通信全景融合</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56</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sz w:val="20"/>
                <w:szCs w:val="20"/>
                <w:highlight w:val="none"/>
              </w:rPr>
            </w:pPr>
            <w:r>
              <w:rPr>
                <w:rFonts w:hint="eastAsia" w:ascii="宋体" w:hAnsi="宋体" w:cs="宋体"/>
                <w:color w:val="auto"/>
                <w:sz w:val="20"/>
                <w:szCs w:val="20"/>
                <w:highlight w:val="none"/>
              </w:rPr>
              <w:t>智能图像处理</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3"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57</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程序设计与实践</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58</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 xml:space="preserve">信号与信息处理课程设计 </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59</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劳动教育B</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60</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通信工程专业创新创业</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61</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通信系统综合设计</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62</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18"/>
                <w:szCs w:val="18"/>
                <w:highlight w:val="none"/>
                <w:lang w:bidi="ar"/>
              </w:rPr>
            </w:pPr>
            <w:r>
              <w:rPr>
                <w:rFonts w:hint="eastAsia" w:ascii="宋体" w:hAnsi="宋体" w:cs="宋体"/>
                <w:color w:val="auto"/>
                <w:sz w:val="18"/>
                <w:szCs w:val="18"/>
                <w:highlight w:val="none"/>
              </w:rPr>
              <w:t>基于校企合作的通信工程综合实践1</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63</w:t>
            </w:r>
          </w:p>
        </w:tc>
        <w:tc>
          <w:tcPr>
            <w:tcW w:w="3062" w:type="dxa"/>
            <w:tcBorders>
              <w:top w:val="nil"/>
              <w:left w:val="nil"/>
              <w:bottom w:val="single" w:color="auto" w:sz="4" w:space="0"/>
              <w:right w:val="single" w:color="auto" w:sz="4" w:space="0"/>
            </w:tcBorders>
            <w:shd w:val="clear" w:color="auto" w:fill="FFFFFF"/>
            <w:noWrap/>
            <w:vAlign w:val="center"/>
          </w:tcPr>
          <w:p>
            <w:pPr>
              <w:widowControl/>
              <w:adjustRightInd w:val="0"/>
              <w:snapToGrid w:val="0"/>
              <w:textAlignment w:val="center"/>
              <w:rPr>
                <w:rFonts w:ascii="宋体" w:hAnsi="宋体" w:cs="宋体"/>
                <w:color w:val="auto"/>
                <w:kern w:val="0"/>
                <w:sz w:val="18"/>
                <w:szCs w:val="18"/>
                <w:highlight w:val="none"/>
                <w:lang w:bidi="ar"/>
              </w:rPr>
            </w:pPr>
            <w:r>
              <w:rPr>
                <w:rFonts w:hint="eastAsia" w:ascii="宋体" w:hAnsi="宋体" w:cs="宋体"/>
                <w:color w:val="auto"/>
                <w:sz w:val="18"/>
                <w:szCs w:val="18"/>
                <w:highlight w:val="none"/>
              </w:rPr>
              <w:t>基于校企合作的通信工程综合实践2</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r>
        <w:tblPrEx>
          <w:tblCellMar>
            <w:top w:w="0" w:type="dxa"/>
            <w:left w:w="108" w:type="dxa"/>
            <w:bottom w:w="0" w:type="dxa"/>
            <w:right w:w="108" w:type="dxa"/>
          </w:tblCellMar>
        </w:tblPrEx>
        <w:trPr>
          <w:trHeight w:val="507"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64</w:t>
            </w:r>
          </w:p>
        </w:tc>
        <w:tc>
          <w:tcPr>
            <w:tcW w:w="3062" w:type="dxa"/>
            <w:tcBorders>
              <w:top w:val="nil"/>
              <w:left w:val="nil"/>
              <w:bottom w:val="single" w:color="auto" w:sz="4" w:space="0"/>
              <w:right w:val="single" w:color="auto" w:sz="4" w:space="0"/>
            </w:tcBorders>
            <w:shd w:val="clear" w:color="auto" w:fill="FFFFFF"/>
            <w:noWrap/>
          </w:tcPr>
          <w:p>
            <w:pPr>
              <w:adjustRightInd w:val="0"/>
              <w:snapToGrid w:val="0"/>
              <w:rPr>
                <w:rFonts w:ascii="宋体" w:hAnsi="宋体" w:cs="宋体"/>
                <w:color w:val="auto"/>
                <w:sz w:val="20"/>
                <w:szCs w:val="20"/>
                <w:highlight w:val="none"/>
              </w:rPr>
            </w:pPr>
            <w:r>
              <w:rPr>
                <w:rFonts w:hint="eastAsia" w:ascii="宋体" w:hAnsi="宋体" w:cs="宋体"/>
                <w:color w:val="auto"/>
                <w:sz w:val="20"/>
                <w:szCs w:val="20"/>
                <w:highlight w:val="none"/>
              </w:rPr>
              <w:t>通信工程专业毕业实习与毕业设计（论文）</w:t>
            </w:r>
          </w:p>
          <w:p>
            <w:pPr>
              <w:widowControl/>
              <w:adjustRightInd w:val="0"/>
              <w:snapToGrid w:val="0"/>
              <w:textAlignment w:val="center"/>
              <w:rPr>
                <w:rFonts w:ascii="宋体" w:hAnsi="宋体" w:cs="宋体"/>
                <w:color w:val="auto"/>
                <w:kern w:val="0"/>
                <w:sz w:val="20"/>
                <w:szCs w:val="20"/>
                <w:highlight w:val="none"/>
                <w:lang w:bidi="ar"/>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vAlign w:val="center"/>
          </w:tcPr>
          <w:p>
            <w:pPr>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bl>
    <w:p>
      <w:pPr>
        <w:rPr>
          <w:rFonts w:ascii="宋体" w:hAnsi="宋体"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备注：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课程对毕业要求的支撑强度分别用“H/高、M/中、L/弱”表示；</w:t>
      </w:r>
    </w:p>
    <w:p>
      <w:pPr>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支撑强度的含义是：该课程覆盖毕业要求指标点的多寡，H至少覆盖80%，M至少覆盖50%，L至少覆盖30%。</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60F2658F"/>
    <w:rsid w:val="000F5061"/>
    <w:rsid w:val="00296F9F"/>
    <w:rsid w:val="003A7DEA"/>
    <w:rsid w:val="004326F8"/>
    <w:rsid w:val="00464485"/>
    <w:rsid w:val="00862078"/>
    <w:rsid w:val="00976D40"/>
    <w:rsid w:val="009A2B4C"/>
    <w:rsid w:val="009A77C9"/>
    <w:rsid w:val="00A3296C"/>
    <w:rsid w:val="00AB7C48"/>
    <w:rsid w:val="00AC0078"/>
    <w:rsid w:val="00BF5FBA"/>
    <w:rsid w:val="00D4263A"/>
    <w:rsid w:val="00D7716E"/>
    <w:rsid w:val="00E839C5"/>
    <w:rsid w:val="00E9042F"/>
    <w:rsid w:val="00FF446C"/>
    <w:rsid w:val="01E96B10"/>
    <w:rsid w:val="06F17DF0"/>
    <w:rsid w:val="182B30AB"/>
    <w:rsid w:val="35C6441D"/>
    <w:rsid w:val="3657071F"/>
    <w:rsid w:val="372F4649"/>
    <w:rsid w:val="382D159E"/>
    <w:rsid w:val="60F2658F"/>
    <w:rsid w:val="64AB3259"/>
    <w:rsid w:val="6AC840AC"/>
    <w:rsid w:val="6C1D0629"/>
    <w:rsid w:val="6D2B0BE4"/>
    <w:rsid w:val="6FE53653"/>
    <w:rsid w:val="78DF3173"/>
    <w:rsid w:val="7986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widowControl/>
      <w:pBdr>
        <w:bottom w:val="single" w:color="5B9BD5" w:themeColor="accent1" w:sz="8" w:space="4"/>
      </w:pBdr>
      <w:spacing w:after="300"/>
      <w:contextualSpacing/>
      <w:jc w:val="left"/>
    </w:pPr>
    <w:rPr>
      <w:rFonts w:asciiTheme="majorHAnsi" w:hAnsiTheme="majorHAnsi" w:eastAsiaTheme="majorEastAsia" w:cstheme="majorBidi"/>
      <w:color w:val="333F50" w:themeColor="text2" w:themeShade="BF"/>
      <w:spacing w:val="5"/>
      <w:kern w:val="0"/>
      <w:sz w:val="52"/>
      <w:szCs w:val="52"/>
    </w:rPr>
  </w:style>
  <w:style w:type="paragraph" w:customStyle="1" w:styleId="7">
    <w:name w:val="彩色列表1"/>
    <w:basedOn w:val="1"/>
    <w:qFormat/>
    <w:uiPriority w:val="34"/>
    <w:pPr>
      <w:ind w:firstLine="420" w:firstLineChars="200"/>
    </w:pPr>
  </w:style>
  <w:style w:type="character" w:customStyle="1" w:styleId="8">
    <w:name w:val="页眉 字符"/>
    <w:basedOn w:val="6"/>
    <w:link w:val="3"/>
    <w:uiPriority w:val="0"/>
    <w:rPr>
      <w:rFonts w:ascii="Calibri" w:hAnsi="Calibri" w:eastAsia="宋体" w:cs="Times New Roman"/>
      <w:kern w:val="2"/>
      <w:sz w:val="18"/>
      <w:szCs w:val="18"/>
    </w:rPr>
  </w:style>
  <w:style w:type="character" w:customStyle="1" w:styleId="9">
    <w:name w:val="页脚 字符"/>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7047</Words>
  <Characters>8183</Characters>
  <Lines>78</Lines>
  <Paragraphs>22</Paragraphs>
  <TotalTime>3</TotalTime>
  <ScaleCrop>false</ScaleCrop>
  <LinksUpToDate>false</LinksUpToDate>
  <CharactersWithSpaces>8503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2024-06-06T04:38:00Z</dcterms:created>
  <dc:creator>WPS_1635491849</dc:creator>
  <cp:lastModifiedBy>WPS_1635491849</cp:lastModifiedBy>
  <dcterms:modified xsi:type="dcterms:W3CDTF">2024-06-20T01:32:31Z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72A88479892C417DAA3DB39A576C961C_11</vt:lpwstr>
  </property>
</Properties>
</file>